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E77F" w14:textId="77777777" w:rsidR="0084499D" w:rsidRPr="007A7B03" w:rsidRDefault="0084499D"/>
    <w:p w14:paraId="171AD957" w14:textId="77777777" w:rsidR="00DB2CB6" w:rsidRPr="007A7B03" w:rsidRDefault="00DB2CB6"/>
    <w:p w14:paraId="7C10AF26" w14:textId="77777777" w:rsidR="00DB2CB6" w:rsidRPr="007A7B03" w:rsidRDefault="00DB2CB6">
      <w:pPr>
        <w:rPr>
          <w:rFonts w:cstheme="minorHAnsi"/>
          <w:b/>
          <w:sz w:val="40"/>
          <w:szCs w:val="40"/>
        </w:rPr>
      </w:pPr>
    </w:p>
    <w:p w14:paraId="676BB4B8" w14:textId="77777777" w:rsidR="00F140C9" w:rsidRDefault="00F140C9">
      <w:pPr>
        <w:rPr>
          <w:rFonts w:cstheme="minorHAnsi"/>
          <w:sz w:val="40"/>
          <w:szCs w:val="40"/>
        </w:rPr>
      </w:pPr>
    </w:p>
    <w:p w14:paraId="7EF61CDA" w14:textId="77777777" w:rsidR="00F140C9" w:rsidRDefault="00F140C9">
      <w:pPr>
        <w:rPr>
          <w:rFonts w:cstheme="minorHAnsi"/>
          <w:sz w:val="40"/>
          <w:szCs w:val="40"/>
        </w:rPr>
      </w:pPr>
    </w:p>
    <w:p w14:paraId="271C4F20" w14:textId="2A00E24B" w:rsidR="00DB2CB6" w:rsidRPr="007A7B03" w:rsidRDefault="00DB2CB6">
      <w:pPr>
        <w:rPr>
          <w:rFonts w:cstheme="minorHAnsi"/>
          <w:sz w:val="40"/>
          <w:szCs w:val="40"/>
        </w:rPr>
      </w:pPr>
      <w:r w:rsidRPr="007A7B03">
        <w:rPr>
          <w:rFonts w:cstheme="minorHAnsi"/>
          <w:sz w:val="40"/>
          <w:szCs w:val="40"/>
        </w:rPr>
        <w:t>Mednarodna raziskava bralne pismenosti PIRLS 2021</w:t>
      </w:r>
    </w:p>
    <w:p w14:paraId="04143E18" w14:textId="77777777" w:rsidR="00DB2CB6" w:rsidRPr="007A7B03" w:rsidRDefault="00DB2CB6">
      <w:pPr>
        <w:rPr>
          <w:sz w:val="36"/>
          <w:szCs w:val="36"/>
        </w:rPr>
      </w:pPr>
      <w:r w:rsidRPr="007A7B03">
        <w:rPr>
          <w:sz w:val="36"/>
          <w:szCs w:val="36"/>
        </w:rPr>
        <w:t>Povzetek prvih rezultatov</w:t>
      </w:r>
    </w:p>
    <w:p w14:paraId="179ECC6E" w14:textId="10113032" w:rsidR="00DB2CB6" w:rsidRDefault="00DB2CB6"/>
    <w:p w14:paraId="7E729559" w14:textId="77777777" w:rsidR="00F140C9" w:rsidRPr="007A7B03" w:rsidRDefault="00F140C9"/>
    <w:p w14:paraId="421543CB" w14:textId="77777777" w:rsidR="00DB2CB6" w:rsidRPr="007A7B03" w:rsidRDefault="00DB2CB6">
      <w:r w:rsidRPr="007A7B03">
        <w:t>Objava rezultatov 16. maja 2023 ob 10.00</w:t>
      </w:r>
    </w:p>
    <w:p w14:paraId="44D6A68D" w14:textId="77777777" w:rsidR="00DB2CB6" w:rsidRPr="007A7B03" w:rsidRDefault="00DB2CB6"/>
    <w:p w14:paraId="79C046F6" w14:textId="77777777" w:rsidR="00DB2CB6" w:rsidRPr="007A7B03" w:rsidRDefault="00DB2CB6">
      <w:r w:rsidRPr="007A7B03">
        <w:t>Povzetek pripravila: dr. Eva M. Klemenčič, nacionalna koordinatorka raziskave</w:t>
      </w:r>
    </w:p>
    <w:p w14:paraId="606F401B" w14:textId="60B1CAB7" w:rsidR="00234C0B" w:rsidRDefault="00234C0B"/>
    <w:p w14:paraId="1FBAAF24" w14:textId="2CCF4689" w:rsidR="0013586F" w:rsidRDefault="0013586F"/>
    <w:p w14:paraId="6FDCE34E" w14:textId="77777777" w:rsidR="0013586F" w:rsidRPr="007A7B03" w:rsidRDefault="0013586F"/>
    <w:p w14:paraId="26FB25A6" w14:textId="2C26F604" w:rsidR="00234C0B" w:rsidRDefault="0013586F">
      <w:r>
        <w:t>N</w:t>
      </w:r>
      <w:r w:rsidR="00F140C9">
        <w:t>acionaln</w:t>
      </w:r>
      <w:r>
        <w:t>o</w:t>
      </w:r>
      <w:r w:rsidR="00F140C9">
        <w:t xml:space="preserve"> poročil</w:t>
      </w:r>
      <w:r>
        <w:t>o</w:t>
      </w:r>
      <w:r w:rsidR="00F140C9">
        <w:t xml:space="preserve"> PIRLS 2021: </w:t>
      </w:r>
      <w:hyperlink r:id="rId8" w:history="1">
        <w:r w:rsidR="002C3536" w:rsidRPr="00CD7324">
          <w:rPr>
            <w:rStyle w:val="Hyperlink"/>
          </w:rPr>
          <w:t>https://www.pei.si/wp-content/uploads/2023/05/Nacionalno_porocilo_PIRLS_2021.pdf</w:t>
        </w:r>
      </w:hyperlink>
    </w:p>
    <w:p w14:paraId="1BFC85B5" w14:textId="7B2965ED" w:rsidR="002C3536" w:rsidRDefault="00435061">
      <w:r>
        <w:rPr>
          <w:noProof/>
        </w:rPr>
        <w:drawing>
          <wp:inline distT="0" distB="0" distL="0" distR="0" wp14:anchorId="650B37A5" wp14:editId="516718A5">
            <wp:extent cx="28575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33CBEB4" w14:textId="77777777" w:rsidR="002C3536" w:rsidRPr="007A7B03" w:rsidRDefault="002C3536"/>
    <w:p w14:paraId="30AAAA36" w14:textId="7E383C31" w:rsidR="00234C0B" w:rsidRPr="007A7B03" w:rsidRDefault="00234C0B"/>
    <w:p w14:paraId="1E50A7D8" w14:textId="77777777" w:rsidR="00234C0B" w:rsidRPr="007A7B03" w:rsidRDefault="00234C0B">
      <w:pPr>
        <w:rPr>
          <w:b/>
        </w:rPr>
      </w:pPr>
      <w:r w:rsidRPr="007A7B03">
        <w:rPr>
          <w:b/>
        </w:rPr>
        <w:lastRenderedPageBreak/>
        <w:t>Uvod</w:t>
      </w:r>
    </w:p>
    <w:p w14:paraId="1743D539" w14:textId="77777777" w:rsidR="000F1682" w:rsidRPr="007A7B03" w:rsidRDefault="000F1682" w:rsidP="00A437E8">
      <w:pPr>
        <w:ind w:left="1560"/>
        <w:jc w:val="both"/>
        <w:rPr>
          <w:i/>
        </w:rPr>
      </w:pPr>
      <w:r w:rsidRPr="007A7B03">
        <w:rPr>
          <w:i/>
        </w:rPr>
        <w:t xml:space="preserve">Bralna pismenost je stalno razvijajoča se zmožnost posameznika in posameznice za razumevanje, kritično vrednotenje in uporabo pisnih informacij. </w:t>
      </w:r>
      <w:r w:rsidR="00E3085B" w:rsidRPr="009061DB">
        <w:rPr>
          <w:u w:val="single"/>
        </w:rPr>
        <w:t>[J]</w:t>
      </w:r>
      <w:r w:rsidRPr="007A7B03">
        <w:rPr>
          <w:i/>
        </w:rPr>
        <w:t>e temelj vseh drugih pismenosti in je ključna za razvijanje posameznikovih in posamezničinih sposobnosti ter njuno uspešno sodelovanje v družbi.</w:t>
      </w:r>
      <w:r w:rsidR="00E31A93" w:rsidRPr="007A7B03">
        <w:rPr>
          <w:i/>
        </w:rPr>
        <w:t xml:space="preserve"> </w:t>
      </w:r>
    </w:p>
    <w:p w14:paraId="2057B7B0" w14:textId="77777777" w:rsidR="00A32B9E" w:rsidRPr="007A7B03" w:rsidRDefault="000F1682" w:rsidP="00A437E8">
      <w:pPr>
        <w:ind w:left="1560"/>
        <w:jc w:val="both"/>
        <w:rPr>
          <w:rStyle w:val="markedcontent"/>
          <w:b/>
        </w:rPr>
      </w:pPr>
      <w:r w:rsidRPr="007A7B03">
        <w:t>(Nacionalna strategija za razvoj bralne pismenosti za obdobje 2019</w:t>
      </w:r>
      <w:r w:rsidR="00CF0759" w:rsidRPr="007A7B03">
        <w:t>–</w:t>
      </w:r>
      <w:r w:rsidRPr="007A7B03">
        <w:t>2030, 2020: 3)</w:t>
      </w:r>
    </w:p>
    <w:p w14:paraId="602E9574" w14:textId="77777777" w:rsidR="00234C0B" w:rsidRPr="007A7B03" w:rsidRDefault="000F1682" w:rsidP="00A437E8">
      <w:pPr>
        <w:jc w:val="both"/>
      </w:pPr>
      <w:r w:rsidRPr="007A7B03">
        <w:rPr>
          <w:rStyle w:val="markedcontent"/>
          <w:rFonts w:cstheme="minorHAnsi"/>
        </w:rPr>
        <w:t>Mednarodno raziskavo bralne pismenosti (ang</w:t>
      </w:r>
      <w:r w:rsidR="00CF0759" w:rsidRPr="007A7B03">
        <w:rPr>
          <w:rStyle w:val="markedcontent"/>
          <w:rFonts w:cstheme="minorHAnsi"/>
        </w:rPr>
        <w:t>l</w:t>
      </w:r>
      <w:r w:rsidRPr="007A7B03">
        <w:rPr>
          <w:rStyle w:val="markedcontent"/>
          <w:rFonts w:cstheme="minorHAnsi"/>
        </w:rPr>
        <w:t xml:space="preserve">. </w:t>
      </w:r>
      <w:proofErr w:type="spellStart"/>
      <w:r w:rsidRPr="007A7B03">
        <w:rPr>
          <w:rStyle w:val="markedcontent"/>
          <w:rFonts w:cstheme="minorHAnsi"/>
        </w:rPr>
        <w:t>Progress</w:t>
      </w:r>
      <w:proofErr w:type="spellEnd"/>
      <w:r w:rsidRPr="007A7B03">
        <w:rPr>
          <w:rStyle w:val="markedcontent"/>
          <w:rFonts w:cstheme="minorHAnsi"/>
        </w:rPr>
        <w:t xml:space="preserve"> in International </w:t>
      </w:r>
      <w:proofErr w:type="spellStart"/>
      <w:r w:rsidRPr="007A7B03">
        <w:rPr>
          <w:rStyle w:val="markedcontent"/>
          <w:rFonts w:cstheme="minorHAnsi"/>
        </w:rPr>
        <w:t>Reading</w:t>
      </w:r>
      <w:proofErr w:type="spellEnd"/>
      <w:r w:rsidRPr="007A7B03">
        <w:rPr>
          <w:rStyle w:val="markedcontent"/>
          <w:rFonts w:cstheme="minorHAnsi"/>
        </w:rPr>
        <w:t xml:space="preserve"> </w:t>
      </w:r>
      <w:proofErr w:type="spellStart"/>
      <w:r w:rsidRPr="007A7B03">
        <w:rPr>
          <w:rStyle w:val="markedcontent"/>
          <w:rFonts w:cstheme="minorHAnsi"/>
        </w:rPr>
        <w:t>Literacy</w:t>
      </w:r>
      <w:proofErr w:type="spellEnd"/>
      <w:r w:rsidRPr="007A7B03">
        <w:rPr>
          <w:rStyle w:val="markedcontent"/>
          <w:rFonts w:cstheme="minorHAnsi"/>
        </w:rPr>
        <w:t xml:space="preserve"> </w:t>
      </w:r>
      <w:proofErr w:type="spellStart"/>
      <w:r w:rsidRPr="007A7B03">
        <w:rPr>
          <w:rStyle w:val="markedcontent"/>
          <w:rFonts w:cstheme="minorHAnsi"/>
        </w:rPr>
        <w:t>Study</w:t>
      </w:r>
      <w:proofErr w:type="spellEnd"/>
      <w:r w:rsidRPr="007A7B03">
        <w:rPr>
          <w:rStyle w:val="markedcontent"/>
          <w:rFonts w:cstheme="minorHAnsi"/>
        </w:rPr>
        <w:t xml:space="preserve"> </w:t>
      </w:r>
      <w:r w:rsidR="00CF0759" w:rsidRPr="007A7B03">
        <w:rPr>
          <w:rStyle w:val="markedcontent"/>
          <w:rFonts w:cstheme="minorHAnsi"/>
        </w:rPr>
        <w:t>–</w:t>
      </w:r>
      <w:r w:rsidRPr="007A7B03">
        <w:rPr>
          <w:rStyle w:val="markedcontent"/>
          <w:rFonts w:cstheme="minorHAnsi"/>
        </w:rPr>
        <w:t xml:space="preserve"> PIRLS) v Sloveniji koordinira Pedagoški inštitut, na mednarodni ravni pa jo koordinira Mednarodna zveza za evalvacijo izobraževalnih dosežkov (ang</w:t>
      </w:r>
      <w:r w:rsidR="00CF0759" w:rsidRPr="007A7B03">
        <w:rPr>
          <w:rStyle w:val="markedcontent"/>
          <w:rFonts w:cstheme="minorHAnsi"/>
        </w:rPr>
        <w:t>l</w:t>
      </w:r>
      <w:r w:rsidRPr="007A7B03">
        <w:rPr>
          <w:rStyle w:val="markedcontent"/>
          <w:rFonts w:cstheme="minorHAnsi"/>
        </w:rPr>
        <w:t>. The International Association for the Evaluation of Educational Achievement</w:t>
      </w:r>
      <w:r w:rsidR="00CF0759" w:rsidRPr="007A7B03">
        <w:rPr>
          <w:rStyle w:val="markedcontent"/>
          <w:rFonts w:cstheme="minorHAnsi"/>
        </w:rPr>
        <w:t xml:space="preserve"> – IEA</w:t>
      </w:r>
      <w:r w:rsidRPr="007A7B03">
        <w:rPr>
          <w:rStyle w:val="markedcontent"/>
          <w:rFonts w:cstheme="minorHAnsi"/>
        </w:rPr>
        <w:t>). Pedagoški inštitut je s to raziskavo (podobno kot z ostalimi mednarodnimi primerjalnimi raziskavami, ki potekajo na vsakih nekaj let) izvedel neodvisno evalvacijo tega segmenta šolskega sistema v Republiki Sloveniji. PIRLS je ciklična raziskava; Slovenija je v mednarodni raziskavi na področju bralne pismenosti četrtošolcev prvič sodelovala leta 1991 (takrat je imela raziskava kratico RL – ang</w:t>
      </w:r>
      <w:r w:rsidR="00CF0759" w:rsidRPr="007A7B03">
        <w:rPr>
          <w:rStyle w:val="markedcontent"/>
          <w:rFonts w:cstheme="minorHAnsi"/>
        </w:rPr>
        <w:t>l</w:t>
      </w:r>
      <w:r w:rsidRPr="007A7B03">
        <w:rPr>
          <w:rStyle w:val="markedcontent"/>
          <w:rFonts w:cstheme="minorHAnsi"/>
        </w:rPr>
        <w:t>. Reading Literacy), nato 2001 (prvič s kratico PIRLS), nato 2006,</w:t>
      </w:r>
      <w:r w:rsidR="00E31A93" w:rsidRPr="007A7B03">
        <w:rPr>
          <w:rStyle w:val="markedcontent"/>
          <w:rFonts w:cstheme="minorHAnsi"/>
        </w:rPr>
        <w:t xml:space="preserve"> </w:t>
      </w:r>
      <w:r w:rsidRPr="007A7B03">
        <w:rPr>
          <w:rStyle w:val="markedcontent"/>
          <w:rFonts w:cstheme="minorHAnsi"/>
        </w:rPr>
        <w:t>2011, 2016</w:t>
      </w:r>
      <w:r w:rsidR="00CF0759" w:rsidRPr="007A7B03">
        <w:rPr>
          <w:rStyle w:val="markedcontent"/>
          <w:rFonts w:cstheme="minorHAnsi"/>
        </w:rPr>
        <w:t xml:space="preserve"> in</w:t>
      </w:r>
      <w:r w:rsidRPr="007A7B03">
        <w:rPr>
          <w:rStyle w:val="markedcontent"/>
          <w:rFonts w:cstheme="minorHAnsi"/>
        </w:rPr>
        <w:t xml:space="preserve"> nazadnje v ciklu raziskave leta 2021. </w:t>
      </w:r>
      <w:r w:rsidRPr="007A7B03">
        <w:t>Ker sodeluje ciklično, so možne tudi primerjave med posameznimi cikli ali dolgoročno, kar v nadaljevanju naslovimo z besedo trendi. Pa vendarle, raziskovalni okvir iz leta 1991 je bil nekoliko dopolnjen, da bolje odraža razmere današnjega časa, prav tako s</w:t>
      </w:r>
      <w:r w:rsidR="00CF0759" w:rsidRPr="007A7B03">
        <w:t>ta</w:t>
      </w:r>
      <w:r w:rsidRPr="007A7B03">
        <w:t xml:space="preserve"> </w:t>
      </w:r>
      <w:r w:rsidR="00CF0759" w:rsidRPr="007A7B03">
        <w:t>s</w:t>
      </w:r>
      <w:r w:rsidRPr="007A7B03">
        <w:t xml:space="preserve">e spremenila sama izvedba in nekoliko koncept raziskave. Raziskavo smo leta 2016 prvič izvajali na računalnikih (kot dodatni modul), takrat je bilo mogoče preverjati tudi razlike v bralnih dosežkih </w:t>
      </w:r>
      <w:r w:rsidR="00CF0759" w:rsidRPr="007A7B03">
        <w:t xml:space="preserve">glede na </w:t>
      </w:r>
      <w:r w:rsidRPr="007A7B03">
        <w:t xml:space="preserve">izvedbo raziskave na računalniku napram izvedbi na papirju. Cikel 2021 pomeni za kar nekaj držav prehod na digitalno merjenje bralne pismenosti (integracijo </w:t>
      </w:r>
      <w:proofErr w:type="spellStart"/>
      <w:r w:rsidRPr="007A7B03">
        <w:t>ePIRLS</w:t>
      </w:r>
      <w:proofErr w:type="spellEnd"/>
      <w:r w:rsidRPr="007A7B03">
        <w:t xml:space="preserve"> v digitaln</w:t>
      </w:r>
      <w:r w:rsidR="00CF0759" w:rsidRPr="007A7B03">
        <w:t>o</w:t>
      </w:r>
      <w:r w:rsidRPr="007A7B03">
        <w:t xml:space="preserve"> PIRLS), tudi za Slovenijo. Posebna vrednost sodelovanja v mednarodni raziskavi je tudi to, da se lahko primerjamo z drugimi sodelujočimi državami. Na ta način lahko bolje ovrednotimo dosežke v Sloveniji. </w:t>
      </w:r>
    </w:p>
    <w:p w14:paraId="76287E05" w14:textId="77777777" w:rsidR="00234C0B" w:rsidRPr="007A7B03" w:rsidRDefault="00234C0B" w:rsidP="00A437E8">
      <w:pPr>
        <w:jc w:val="both"/>
        <w:rPr>
          <w:b/>
        </w:rPr>
      </w:pPr>
      <w:r w:rsidRPr="007A7B03">
        <w:rPr>
          <w:b/>
        </w:rPr>
        <w:t>Zasnova Mednarodne raziskave bralne pismenosti (PIRLS 2021)</w:t>
      </w:r>
    </w:p>
    <w:p w14:paraId="0A7781D4" w14:textId="77777777" w:rsidR="00572D06" w:rsidRPr="007A7B03" w:rsidRDefault="008E3264" w:rsidP="00A437E8">
      <w:pPr>
        <w:jc w:val="both"/>
      </w:pPr>
      <w:r w:rsidRPr="007A7B03">
        <w:t xml:space="preserve">Mednarodna raziskava </w:t>
      </w:r>
      <w:r w:rsidR="00572D06" w:rsidRPr="007A7B03">
        <w:t xml:space="preserve">PIRLS je zasnovana tako, da preveri bralno pismenost ob koncu četrtega razreda (učenci so takrat stari približno </w:t>
      </w:r>
      <w:r w:rsidR="00CF0759" w:rsidRPr="007A7B03">
        <w:t>deset</w:t>
      </w:r>
      <w:r w:rsidR="00572D06" w:rsidRPr="007A7B03">
        <w:t xml:space="preserve"> let), ko so učenci že usvojili tehniko branja, sedaj pa so nekako na prehodu iz učenja branja v branje za učenje. </w:t>
      </w:r>
      <w:r w:rsidR="00CF0759" w:rsidRPr="007A7B03">
        <w:t xml:space="preserve">Poleg </w:t>
      </w:r>
      <w:r w:rsidR="00572D06" w:rsidRPr="007A7B03">
        <w:t xml:space="preserve">preverjanja bralne pismenosti v raziskavi sodelujejo tudi ravnatelji, učitelji in starši, prav tako sodelujoči učenci izpolnijo vprašalnik, da pridobimo čim več informacij o šolskih, izvenšolskih, domačih kontekstih, ki se povezujejo z bralno pismenostjo. </w:t>
      </w:r>
    </w:p>
    <w:p w14:paraId="25BC46CF" w14:textId="77777777" w:rsidR="00B07F7A" w:rsidRPr="007A7B03" w:rsidRDefault="000F1682" w:rsidP="00A437E8">
      <w:pPr>
        <w:jc w:val="both"/>
        <w:rPr>
          <w:b/>
          <w:i/>
          <w:sz w:val="20"/>
          <w:szCs w:val="20"/>
        </w:rPr>
      </w:pPr>
      <w:r w:rsidRPr="007A7B03">
        <w:rPr>
          <w:b/>
          <w:i/>
          <w:sz w:val="20"/>
          <w:szCs w:val="20"/>
        </w:rPr>
        <w:t>Definicija bralne pismenosti</w:t>
      </w:r>
      <w:r w:rsidR="008E3264" w:rsidRPr="007A7B03">
        <w:rPr>
          <w:b/>
          <w:i/>
          <w:sz w:val="20"/>
          <w:szCs w:val="20"/>
        </w:rPr>
        <w:t xml:space="preserve"> PIRLS</w:t>
      </w:r>
    </w:p>
    <w:p w14:paraId="52EAA03C" w14:textId="77777777" w:rsidR="00A32B9E" w:rsidRPr="007A7B03" w:rsidRDefault="00A32B9E" w:rsidP="00A437E8">
      <w:pPr>
        <w:jc w:val="both"/>
      </w:pPr>
      <w:r w:rsidRPr="007A7B03">
        <w:t xml:space="preserve">Raziskovalni okvir PIRLS 2021 (ang. PIRLS Assessment Frameworks) in razviti kognitivni in kontekstualni instrumenti skušajo vključiti najnovejše pristope merjenja na področju bralne pismenosti učencev v njihovem četrtem letu šolanja. V prvi mednarodni IEA-raziskavi bralne pismenosti (natančneje Reading Literacy 1991) je bila bralna pismenost definirana kot sposobnost razumeti in uporabiti tiste oblike pisnega jezika, ki jih zahteva družba ter/ali jih ceni posameznik. Sčasoma pa se je skozi več ciklov raziskave PIRLS oblikovala nova definicija, ki se sklicuje na bralne izkušnje učenk in učencev, poudarja razširjen pomen branja v šoli in vsakdanjem življenju ter priznava vedno večjo raznolikost besedil v današnjem tehnološkem svetu (Mullis, Martin, 2019: 6). V posameznih zajemih PIRLS se je raziskovalni okvir nenehno dopolnjeval. Tako je danes (v PIRLS 2021) definicija bralne pismenosti naslednja: </w:t>
      </w:r>
    </w:p>
    <w:p w14:paraId="6116E83D" w14:textId="6B060E8E" w:rsidR="00A32B9E" w:rsidRPr="007A7B03" w:rsidRDefault="00A32B9E" w:rsidP="00A437E8">
      <w:pPr>
        <w:ind w:left="1560"/>
        <w:jc w:val="both"/>
      </w:pPr>
      <w:r w:rsidRPr="007A7B03">
        <w:rPr>
          <w:i/>
        </w:rPr>
        <w:t>Bralna pismenost je sposobnost razumevanja in uporabe tistih pisnih jezikovnih oblik, ki jih zahteva družba in/ali jih vrednoti posameznik. Bralci ustvarjajo pomen iz različnih oblik besedil. Berejo za to, da se učijo, da z drugimi sodelujejo v skupnostih bralcev v šoli in vsakdanjem življenju ter za veselje.</w:t>
      </w:r>
      <w:r w:rsidRPr="007A7B03">
        <w:t xml:space="preserve"> (</w:t>
      </w:r>
      <w:bookmarkStart w:id="0" w:name="_Hlk135035097"/>
      <w:r w:rsidRPr="007A7B03">
        <w:t>Mullis in Martin, 2019: 6</w:t>
      </w:r>
      <w:bookmarkEnd w:id="0"/>
      <w:r w:rsidRPr="007A7B03">
        <w:t>)</w:t>
      </w:r>
    </w:p>
    <w:p w14:paraId="46D868FE" w14:textId="563CB05D" w:rsidR="00A32B9E" w:rsidRPr="007A7B03" w:rsidRDefault="00A32B9E" w:rsidP="00A437E8">
      <w:pPr>
        <w:jc w:val="both"/>
      </w:pPr>
      <w:r w:rsidRPr="007A7B03">
        <w:lastRenderedPageBreak/>
        <w:t>Ta pogled na branje odraža številne teorije bralne pismenosti</w:t>
      </w:r>
      <w:r w:rsidR="00CF0759" w:rsidRPr="007A7B03">
        <w:t xml:space="preserve">, ki poudarjajo, da je branje </w:t>
      </w:r>
      <w:r w:rsidRPr="007A7B03">
        <w:t>tako konstruktivni kakor interaktivni proces. Pomen je ustvarjen skozi interakcijo bralec – besedilo v kontekstu partikularne bralne izkušnje. Bralce razumemo kot tiste, ki aktivno konstruirajo pomen, poznajo učinkovite bralne strategije in to, kako slednje prenesti v branje. Pred, med in po branju bralci uporabljajo repertoar lingvističnih veščin, kognitivnih in metakognitivnih strategij pa tudi ozadenjsko znanje – na ta način ustvarjajo pomen. Zraven tega lahko kontekst bralne situacije podpira ustvarjanje pomena s spodbujanjem angažiranja in motivacije za branje, vendar pa lahko kontekst določi tudi specifične zahteve, ki morda ne podpirajo ustvarjanja pomena (</w:t>
      </w:r>
      <w:r w:rsidR="001B4F44" w:rsidRPr="001B4F44">
        <w:t>Mullis in Martin, 2019: 6</w:t>
      </w:r>
      <w:r w:rsidRPr="007A7B03">
        <w:t xml:space="preserve">). Zato da bralci pridobijo znanje o svetu ali o </w:t>
      </w:r>
      <w:r w:rsidR="00CF0759" w:rsidRPr="007A7B03">
        <w:t>sebi</w:t>
      </w:r>
      <w:r w:rsidRPr="007A7B03">
        <w:t>, se lahko učijo iz različnih vrst besedil. Vsaka vrsta besedila ima lahko več oblik, od tradicionalnih pisnih (knjige, revije itd.) do digitalnih oziroma elektronskih oblik (npr. SMS</w:t>
      </w:r>
      <w:r w:rsidR="00F17E6F" w:rsidRPr="007A7B03">
        <w:t>-i</w:t>
      </w:r>
      <w:r w:rsidRPr="007A7B03">
        <w:t>, elektronska sporočila, internetna spletna mesta). Vse to se</w:t>
      </w:r>
      <w:r w:rsidR="00E31A93" w:rsidRPr="007A7B03">
        <w:t xml:space="preserve"> </w:t>
      </w:r>
      <w:r w:rsidRPr="007A7B03">
        <w:t xml:space="preserve">vedno bolj odraža tudi v šolskem prostoru in pridobivanju znanja v šoli (in izven </w:t>
      </w:r>
      <w:r w:rsidR="00F17E6F" w:rsidRPr="007A7B03">
        <w:t>nje</w:t>
      </w:r>
      <w:r w:rsidRPr="007A7B03">
        <w:t xml:space="preserve">), zato tej zasnovi sledi tudi PIRLS. </w:t>
      </w:r>
    </w:p>
    <w:p w14:paraId="7740A346" w14:textId="77777777" w:rsidR="000F1682" w:rsidRPr="007A7B03" w:rsidRDefault="000F1682" w:rsidP="00A437E8">
      <w:pPr>
        <w:jc w:val="both"/>
        <w:rPr>
          <w:b/>
          <w:i/>
          <w:sz w:val="20"/>
          <w:szCs w:val="20"/>
        </w:rPr>
      </w:pPr>
      <w:r w:rsidRPr="007A7B03">
        <w:rPr>
          <w:b/>
          <w:i/>
          <w:sz w:val="20"/>
          <w:szCs w:val="20"/>
        </w:rPr>
        <w:t>Izvedba cikla 2021</w:t>
      </w:r>
    </w:p>
    <w:p w14:paraId="05C4ADD1" w14:textId="2F4BB031" w:rsidR="000F1682" w:rsidRPr="007A7B03" w:rsidRDefault="000F1682" w:rsidP="00A437E8">
      <w:pPr>
        <w:jc w:val="both"/>
        <w:rPr>
          <w:rFonts w:cstheme="minorHAnsi"/>
        </w:rPr>
      </w:pPr>
      <w:r w:rsidRPr="007A7B03">
        <w:rPr>
          <w:rStyle w:val="markedcontent"/>
          <w:rFonts w:cstheme="minorHAnsi"/>
        </w:rPr>
        <w:t>V raziskavi PIRLS 2021 je na mednarodni ravni sodelovalo 57 držav oziroma izobraževalnih sistemov in 8 referenčnih udeleženk.</w:t>
      </w:r>
      <w:r w:rsidRPr="007A7B03">
        <w:t xml:space="preserve"> </w:t>
      </w:r>
      <w:r w:rsidRPr="007A7B03">
        <w:rPr>
          <w:rStyle w:val="markedcontent"/>
          <w:rFonts w:cstheme="minorHAnsi"/>
        </w:rPr>
        <w:t xml:space="preserve">26 držav oziroma izobraževalnih sistemov in 7 primerjalnih udeleženk je v tem ciklu prešlo na digitalno testiranje kot primarni način zbiranja podatkov, hkrati pa so izvajali tudi trende besedil v testiranju na papirju (iz PIRLS 2016), v smislu t. i. </w:t>
      </w:r>
      <w:r w:rsidR="00E3085B" w:rsidRPr="008A5EC1">
        <w:rPr>
          <w:rStyle w:val="markedcontent"/>
          <w:rFonts w:cstheme="minorHAnsi"/>
          <w:i/>
        </w:rPr>
        <w:t xml:space="preserve">bridge </w:t>
      </w:r>
      <w:proofErr w:type="spellStart"/>
      <w:r w:rsidR="00E3085B" w:rsidRPr="008A5EC1">
        <w:rPr>
          <w:rStyle w:val="markedcontent"/>
          <w:rFonts w:cstheme="minorHAnsi"/>
          <w:i/>
        </w:rPr>
        <w:t>study</w:t>
      </w:r>
      <w:proofErr w:type="spellEnd"/>
      <w:r w:rsidR="00F17E6F" w:rsidRPr="007A7B03">
        <w:rPr>
          <w:rStyle w:val="markedcontent"/>
          <w:rFonts w:cstheme="minorHAnsi"/>
        </w:rPr>
        <w:t xml:space="preserve"> (angl.),</w:t>
      </w:r>
      <w:r w:rsidRPr="007A7B03">
        <w:rPr>
          <w:rStyle w:val="markedcontent"/>
          <w:rFonts w:cstheme="minorHAnsi"/>
        </w:rPr>
        <w:t xml:space="preserve"> med </w:t>
      </w:r>
      <w:r w:rsidR="00F17E6F" w:rsidRPr="007A7B03">
        <w:rPr>
          <w:rStyle w:val="markedcontent"/>
          <w:rFonts w:cstheme="minorHAnsi"/>
        </w:rPr>
        <w:t xml:space="preserve">njimi je </w:t>
      </w:r>
      <w:r w:rsidRPr="007A7B03">
        <w:rPr>
          <w:rStyle w:val="markedcontent"/>
          <w:rFonts w:cstheme="minorHAnsi"/>
        </w:rPr>
        <w:t xml:space="preserve">tudi Slovenija. </w:t>
      </w:r>
      <w:r w:rsidR="00065D83" w:rsidRPr="007A7B03">
        <w:rPr>
          <w:rStyle w:val="markedcontent"/>
          <w:rFonts w:cstheme="minorHAnsi"/>
        </w:rPr>
        <w:t xml:space="preserve">Raziskavo smo izvajali v času med 17. marcem in 23. junijem 2021. Na največ šolah je bila raziskava izvedena v dveh tednih </w:t>
      </w:r>
      <w:r w:rsidR="00F17E6F" w:rsidRPr="007A7B03">
        <w:rPr>
          <w:rStyle w:val="markedcontent"/>
          <w:rFonts w:cstheme="minorHAnsi"/>
        </w:rPr>
        <w:t xml:space="preserve">v </w:t>
      </w:r>
      <w:r w:rsidR="00065D83" w:rsidRPr="007A7B03">
        <w:rPr>
          <w:rStyle w:val="markedcontent"/>
          <w:rFonts w:cstheme="minorHAnsi"/>
        </w:rPr>
        <w:t xml:space="preserve">aprila in maju, v mesecu juniju pa smo izvajali predvsem ponovitvene izvedbe. V raziskavi so sodelovali učenci (četrtošolci, v povprečju so bili stari 10 let), njihovi učitelji, ravnatelji in starši. </w:t>
      </w:r>
      <w:r w:rsidR="00420018" w:rsidRPr="007A7B03">
        <w:rPr>
          <w:rStyle w:val="markedcontent"/>
          <w:rFonts w:cstheme="minorHAnsi"/>
        </w:rPr>
        <w:t>Zbrani podatki</w:t>
      </w:r>
      <w:r w:rsidR="009E45CB" w:rsidRPr="007A7B03">
        <w:rPr>
          <w:rStyle w:val="markedcontent"/>
          <w:rFonts w:cstheme="minorHAnsi"/>
        </w:rPr>
        <w:t xml:space="preserve"> (za PIRLS </w:t>
      </w:r>
      <w:proofErr w:type="spellStart"/>
      <w:r w:rsidR="009E45CB" w:rsidRPr="007A7B03">
        <w:rPr>
          <w:rStyle w:val="markedcontent"/>
          <w:rFonts w:cstheme="minorHAnsi"/>
        </w:rPr>
        <w:t>digital</w:t>
      </w:r>
      <w:proofErr w:type="spellEnd"/>
      <w:r w:rsidR="009E45CB" w:rsidRPr="007A7B03">
        <w:rPr>
          <w:rStyle w:val="markedcontent"/>
          <w:rFonts w:cstheme="minorHAnsi"/>
        </w:rPr>
        <w:t xml:space="preserve"> in </w:t>
      </w:r>
      <w:r w:rsidR="00E3085B" w:rsidRPr="008A5EC1">
        <w:rPr>
          <w:rStyle w:val="markedcontent"/>
          <w:rFonts w:cstheme="minorHAnsi"/>
          <w:i/>
        </w:rPr>
        <w:t>bridge</w:t>
      </w:r>
      <w:r w:rsidR="009E45CB" w:rsidRPr="007A7B03">
        <w:rPr>
          <w:rStyle w:val="markedcontent"/>
          <w:rFonts w:cstheme="minorHAnsi"/>
        </w:rPr>
        <w:t>)</w:t>
      </w:r>
      <w:r w:rsidR="00420018" w:rsidRPr="007A7B03">
        <w:rPr>
          <w:rStyle w:val="markedcontent"/>
          <w:rFonts w:cstheme="minorHAnsi"/>
        </w:rPr>
        <w:t>:</w:t>
      </w:r>
      <w:r w:rsidR="00E5622E" w:rsidRPr="007A7B03">
        <w:rPr>
          <w:rStyle w:val="markedcontent"/>
          <w:rFonts w:cstheme="minorHAnsi"/>
        </w:rPr>
        <w:t xml:space="preserve"> </w:t>
      </w:r>
      <w:r w:rsidR="00065D83" w:rsidRPr="007A7B03">
        <w:rPr>
          <w:rStyle w:val="markedcontent"/>
          <w:rFonts w:cstheme="minorHAnsi"/>
        </w:rPr>
        <w:t>194 šol (332 oddelkov)</w:t>
      </w:r>
      <w:r w:rsidR="009E45CB" w:rsidRPr="007A7B03">
        <w:rPr>
          <w:rStyle w:val="markedcontent"/>
          <w:rFonts w:cstheme="minorHAnsi"/>
        </w:rPr>
        <w:t xml:space="preserve">, </w:t>
      </w:r>
      <w:r w:rsidR="00065D83" w:rsidRPr="007A7B03">
        <w:rPr>
          <w:rStyle w:val="markedcontent"/>
          <w:rFonts w:cstheme="minorHAnsi"/>
        </w:rPr>
        <w:t>163 ravnateljev</w:t>
      </w:r>
      <w:r w:rsidR="009E45CB" w:rsidRPr="007A7B03">
        <w:rPr>
          <w:rStyle w:val="markedcontent"/>
          <w:rFonts w:cstheme="minorHAnsi"/>
        </w:rPr>
        <w:t xml:space="preserve">, </w:t>
      </w:r>
      <w:r w:rsidR="00065D83" w:rsidRPr="007A7B03">
        <w:rPr>
          <w:rStyle w:val="markedcontent"/>
          <w:rFonts w:cstheme="minorHAnsi"/>
        </w:rPr>
        <w:t>6</w:t>
      </w:r>
      <w:r w:rsidR="00F17E6F" w:rsidRPr="007A7B03">
        <w:rPr>
          <w:rStyle w:val="markedcontent"/>
          <w:rFonts w:cstheme="minorHAnsi"/>
        </w:rPr>
        <w:t>.</w:t>
      </w:r>
      <w:r w:rsidR="00065D83" w:rsidRPr="007A7B03">
        <w:rPr>
          <w:rStyle w:val="markedcontent"/>
          <w:rFonts w:cstheme="minorHAnsi"/>
        </w:rPr>
        <w:t>505 učencev</w:t>
      </w:r>
      <w:r w:rsidR="005217D6" w:rsidRPr="007A7B03">
        <w:rPr>
          <w:rStyle w:val="markedcontent"/>
          <w:rFonts w:cstheme="minorHAnsi"/>
        </w:rPr>
        <w:t xml:space="preserve"> (5</w:t>
      </w:r>
      <w:r w:rsidR="00F17E6F" w:rsidRPr="007A7B03">
        <w:rPr>
          <w:rStyle w:val="markedcontent"/>
          <w:rFonts w:cstheme="minorHAnsi"/>
        </w:rPr>
        <w:t>.</w:t>
      </w:r>
      <w:r w:rsidR="005217D6" w:rsidRPr="007A7B03">
        <w:rPr>
          <w:rStyle w:val="markedcontent"/>
          <w:rFonts w:cstheme="minorHAnsi"/>
        </w:rPr>
        <w:t>096 digitaln</w:t>
      </w:r>
      <w:r w:rsidR="00F17E6F" w:rsidRPr="007A7B03">
        <w:rPr>
          <w:rStyle w:val="markedcontent"/>
          <w:rFonts w:cstheme="minorHAnsi"/>
        </w:rPr>
        <w:t>a</w:t>
      </w:r>
      <w:r w:rsidR="005217D6" w:rsidRPr="007A7B03">
        <w:rPr>
          <w:rStyle w:val="markedcontent"/>
          <w:rFonts w:cstheme="minorHAnsi"/>
        </w:rPr>
        <w:t xml:space="preserve"> PIRLS, 1</w:t>
      </w:r>
      <w:r w:rsidR="00F17E6F" w:rsidRPr="007A7B03">
        <w:rPr>
          <w:rStyle w:val="markedcontent"/>
          <w:rFonts w:cstheme="minorHAnsi"/>
        </w:rPr>
        <w:t>.</w:t>
      </w:r>
      <w:r w:rsidR="005217D6" w:rsidRPr="007A7B03">
        <w:rPr>
          <w:rStyle w:val="markedcontent"/>
          <w:rFonts w:cstheme="minorHAnsi"/>
        </w:rPr>
        <w:t xml:space="preserve">409 </w:t>
      </w:r>
      <w:r w:rsidR="00E3085B" w:rsidRPr="008A5EC1">
        <w:rPr>
          <w:rStyle w:val="markedcontent"/>
          <w:rFonts w:cstheme="minorHAnsi"/>
          <w:i/>
        </w:rPr>
        <w:t>bridge</w:t>
      </w:r>
      <w:r w:rsidR="005217D6" w:rsidRPr="007A7B03">
        <w:rPr>
          <w:rStyle w:val="markedcontent"/>
          <w:rFonts w:cstheme="minorHAnsi"/>
        </w:rPr>
        <w:t>)</w:t>
      </w:r>
      <w:r w:rsidR="009E45CB" w:rsidRPr="007A7B03">
        <w:rPr>
          <w:rStyle w:val="markedcontent"/>
          <w:rFonts w:cstheme="minorHAnsi"/>
        </w:rPr>
        <w:t xml:space="preserve">, </w:t>
      </w:r>
      <w:r w:rsidR="00065D83" w:rsidRPr="007A7B03">
        <w:rPr>
          <w:rStyle w:val="markedcontent"/>
          <w:rFonts w:cstheme="minorHAnsi"/>
        </w:rPr>
        <w:t>5</w:t>
      </w:r>
      <w:r w:rsidR="00F17E6F" w:rsidRPr="007A7B03">
        <w:rPr>
          <w:rStyle w:val="markedcontent"/>
          <w:rFonts w:cstheme="minorHAnsi"/>
        </w:rPr>
        <w:t>.</w:t>
      </w:r>
      <w:r w:rsidR="00065D83" w:rsidRPr="007A7B03">
        <w:rPr>
          <w:rStyle w:val="markedcontent"/>
          <w:rFonts w:cstheme="minorHAnsi"/>
        </w:rPr>
        <w:t>974 staršev</w:t>
      </w:r>
      <w:r w:rsidR="00F17E6F" w:rsidRPr="007A7B03">
        <w:rPr>
          <w:rStyle w:val="markedcontent"/>
          <w:rFonts w:cstheme="minorHAnsi"/>
        </w:rPr>
        <w:t xml:space="preserve"> in</w:t>
      </w:r>
      <w:r w:rsidR="00E5622E" w:rsidRPr="007A7B03">
        <w:rPr>
          <w:rStyle w:val="markedcontent"/>
          <w:rFonts w:cstheme="minorHAnsi"/>
        </w:rPr>
        <w:t xml:space="preserve"> </w:t>
      </w:r>
      <w:r w:rsidR="00065D83" w:rsidRPr="007A7B03">
        <w:rPr>
          <w:rStyle w:val="markedcontent"/>
          <w:rFonts w:cstheme="minorHAnsi"/>
        </w:rPr>
        <w:t>32</w:t>
      </w:r>
      <w:r w:rsidR="009E45CB" w:rsidRPr="007A7B03">
        <w:rPr>
          <w:rStyle w:val="markedcontent"/>
          <w:rFonts w:cstheme="minorHAnsi"/>
        </w:rPr>
        <w:t>4</w:t>
      </w:r>
      <w:r w:rsidR="00065D83" w:rsidRPr="007A7B03">
        <w:rPr>
          <w:rStyle w:val="markedcontent"/>
          <w:rFonts w:cstheme="minorHAnsi"/>
        </w:rPr>
        <w:t xml:space="preserve"> učiteljev (ki so poučevali vzorčene razrede četrtošolcev).</w:t>
      </w:r>
    </w:p>
    <w:p w14:paraId="654CE84A" w14:textId="77777777" w:rsidR="00234C0B" w:rsidRPr="007A7B03" w:rsidRDefault="00234C0B" w:rsidP="00A437E8">
      <w:pPr>
        <w:jc w:val="both"/>
        <w:rPr>
          <w:b/>
        </w:rPr>
      </w:pPr>
      <w:r w:rsidRPr="007A7B03">
        <w:rPr>
          <w:b/>
        </w:rPr>
        <w:t>Ključne ugotovitve PIRLS 2021</w:t>
      </w:r>
    </w:p>
    <w:p w14:paraId="52785605" w14:textId="40E5675E" w:rsidR="00572D06" w:rsidRPr="007A7B03" w:rsidRDefault="00A32B9E" w:rsidP="00A437E8">
      <w:pPr>
        <w:jc w:val="both"/>
        <w:rPr>
          <w:b/>
        </w:rPr>
      </w:pPr>
      <w:r w:rsidRPr="007A7B03">
        <w:t xml:space="preserve">Najprej bomo prikazali porazdelitev bralnih dosežkov (v padajočem vrstnem redu) sodelujočih držav oziroma izobraževalnih sistemov. Pri tem je </w:t>
      </w:r>
      <w:r w:rsidR="00E31A93" w:rsidRPr="007A7B03">
        <w:t>treba</w:t>
      </w:r>
      <w:r w:rsidRPr="007A7B03">
        <w:t xml:space="preserve"> opozoriti, da je »mednarodno povprečje PIRLS« izračunano na 500 točk (standardizirana sredina mednarodne lestvice PIRLS), s standardno deviacijo 100 točk. Tako je bilo tudi v prejšnjih zajemih podatkov od leta 2001 naprej. 500 točk torej ne pomeni aritmetične sredine lestvice sodelujočih držav.</w:t>
      </w:r>
    </w:p>
    <w:p w14:paraId="6D88D04F" w14:textId="0870AEEF" w:rsidR="005F7CAF" w:rsidRPr="007A7B03" w:rsidRDefault="005F7CAF" w:rsidP="00A437E8">
      <w:pPr>
        <w:jc w:val="both"/>
      </w:pPr>
      <w:r w:rsidRPr="007A7B03">
        <w:t xml:space="preserve">Iz slike 1 vidimo razvrstitev sodelujočih držav oziroma izobraževalnih sistemov v PIRLS 2021 glede na bralni dosežek učencev. Kot vidimo, so naši četrtošolci nad srednjo vrednostjo mednarodne lestvice PIRLS. Opazimo pa tudi, da so države razvrščene po padajočem vrstnem redu glede na bralni dosežek učencev. V vseh državah z znakom </w:t>
      </w:r>
      <w:r w:rsidRPr="007A7B03">
        <w:rPr>
          <w:rFonts w:ascii="Arial" w:hAnsi="Arial" w:cs="Arial"/>
        </w:rPr>
        <w:t>▲</w:t>
      </w:r>
      <w:r w:rsidRPr="007A7B03">
        <w:t xml:space="preserve"> so povprečni bralni dosežki učencev statistično značilno nad srednjo vrednostjo lestvice PIRLS, države z znakom </w:t>
      </w:r>
      <w:r w:rsidRPr="007A7B03">
        <w:rPr>
          <w:rFonts w:ascii="Arial" w:hAnsi="Arial" w:cs="Arial"/>
        </w:rPr>
        <w:t>▼</w:t>
      </w:r>
      <w:r w:rsidRPr="007A7B03">
        <w:t xml:space="preserve"> pa so statistično značilno pod srednjo vrednostjo le</w:t>
      </w:r>
      <w:r w:rsidR="00F17E6F" w:rsidRPr="007A7B03">
        <w:t>s</w:t>
      </w:r>
      <w:r w:rsidRPr="007A7B03">
        <w:t xml:space="preserve">tvice PIRLS. Kljub temu da so države razvrščene po padajočem vrstnem redu glede na bralni dosežek učencev, kar vidimo v točkah, to še ne pomeni, da </w:t>
      </w:r>
      <w:r w:rsidR="00F17E6F" w:rsidRPr="007A7B03">
        <w:t xml:space="preserve">v </w:t>
      </w:r>
      <w:r w:rsidRPr="007A7B03">
        <w:t xml:space="preserve">vseh državah pri tem dosežku obstaja statistično značilna razlika. To pomeni, da kljub razlikam v točkah ne moremo reči, da je nacionalno povprečje pri teh (določenih) državah nižje ali višje. V primeru Slovenije to pomeni, da ne moremo reči, da so imele države, ki smo jih občrtali z rdečo barvo, statistično značilno različen dosežek učencev </w:t>
      </w:r>
      <w:r w:rsidR="00F17E6F" w:rsidRPr="007A7B03">
        <w:t xml:space="preserve">od </w:t>
      </w:r>
      <w:r w:rsidRPr="007A7B03">
        <w:t>učenc</w:t>
      </w:r>
      <w:r w:rsidR="00F17E6F" w:rsidRPr="007A7B03">
        <w:t>ev</w:t>
      </w:r>
      <w:r w:rsidRPr="007A7B03">
        <w:t xml:space="preserve"> nekaterih drugih držav. Pri interpretaciji dosežkov je </w:t>
      </w:r>
      <w:r w:rsidR="00E31A93" w:rsidRPr="007A7B03">
        <w:t>treba</w:t>
      </w:r>
      <w:r w:rsidRPr="007A7B03">
        <w:t xml:space="preserve"> tudi opozoriti, da so nekatere države testirale kohorto četrtošolcev nekaj mesecev kasneje, v začetku petega razreda, kar je označeno z oznako </w:t>
      </w:r>
      <w:r w:rsidRPr="007A7B03">
        <w:rPr>
          <w:noProof/>
          <w:lang w:eastAsia="sl-SI"/>
        </w:rPr>
        <w:drawing>
          <wp:inline distT="0" distB="0" distL="0" distR="0" wp14:anchorId="327B8580" wp14:editId="47BD54D8">
            <wp:extent cx="146050" cy="1403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7A7B03">
        <w:t>, Norveška pa petošolce (5).</w:t>
      </w:r>
      <w:r w:rsidR="00E31A93" w:rsidRPr="007A7B03">
        <w:t xml:space="preserve"> </w:t>
      </w:r>
    </w:p>
    <w:p w14:paraId="34AC6661" w14:textId="77777777" w:rsidR="00A32B9E" w:rsidRPr="007A7B03" w:rsidRDefault="0024119D">
      <w:pPr>
        <w:rPr>
          <w:b/>
        </w:rPr>
      </w:pPr>
      <w:r w:rsidRPr="007A7B03">
        <w:rPr>
          <w:b/>
          <w:noProof/>
          <w:lang w:eastAsia="sl-SI"/>
        </w:rPr>
        <w:lastRenderedPageBreak/>
        <w:drawing>
          <wp:inline distT="0" distB="0" distL="0" distR="0" wp14:anchorId="456CB809" wp14:editId="76DD1BBD">
            <wp:extent cx="6062980" cy="7035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9"/>
                    <a:stretch/>
                  </pic:blipFill>
                  <pic:spPr bwMode="auto">
                    <a:xfrm>
                      <a:off x="0" y="0"/>
                      <a:ext cx="6062980" cy="7035165"/>
                    </a:xfrm>
                    <a:prstGeom prst="rect">
                      <a:avLst/>
                    </a:prstGeom>
                    <a:noFill/>
                    <a:ln>
                      <a:noFill/>
                    </a:ln>
                    <a:extLst>
                      <a:ext uri="{53640926-AAD7-44D8-BBD7-CCE9431645EC}">
                        <a14:shadowObscured xmlns:a14="http://schemas.microsoft.com/office/drawing/2010/main"/>
                      </a:ext>
                    </a:extLst>
                  </pic:spPr>
                </pic:pic>
              </a:graphicData>
            </a:graphic>
          </wp:inline>
        </w:drawing>
      </w:r>
    </w:p>
    <w:p w14:paraId="54E05E7E" w14:textId="77777777" w:rsidR="00E26953" w:rsidRPr="007A7B03" w:rsidRDefault="008E3264">
      <w:r w:rsidRPr="007A7B03">
        <w:t>Slika 1: Mednarodna lestvica dosežkov bralne pismenosti.</w:t>
      </w:r>
    </w:p>
    <w:p w14:paraId="3E95FE03" w14:textId="5033C52E" w:rsidR="0047275A" w:rsidRPr="007A7B03" w:rsidRDefault="0047275A" w:rsidP="00A437E8">
      <w:pPr>
        <w:jc w:val="both"/>
      </w:pPr>
      <w:r w:rsidRPr="007A7B03">
        <w:t>Kot vidimo iz slike</w:t>
      </w:r>
      <w:r w:rsidR="00F17E6F" w:rsidRPr="007A7B03">
        <w:t>,</w:t>
      </w:r>
      <w:r w:rsidRPr="007A7B03">
        <w:t xml:space="preserve"> dosežki učencev iz Nemčije, Nove Zelandije, Španije in Portugalske niso višji od dosežkov njihovih vrstnikov iz Slovenije, in podobno, dosežki učencev iz Malte, Francije, Srbije in Albanije niso nižji od dosežkov četrtošolcev iz Slovenije. Lahko pa rečemo, da je povprečni bralni dosežek učencev v Sloveniji višji kakor </w:t>
      </w:r>
      <w:r w:rsidR="00F17E6F" w:rsidRPr="007A7B03">
        <w:t>na</w:t>
      </w:r>
      <w:r w:rsidRPr="007A7B03">
        <w:t xml:space="preserve"> Cipru (in vseh državah, ki so razvrščene za njim) ter da je povprečni bralni dosežek učencev v Sloveniji nižji kakor učence</w:t>
      </w:r>
      <w:r w:rsidR="00F17E6F" w:rsidRPr="007A7B03">
        <w:t>v</w:t>
      </w:r>
      <w:r w:rsidRPr="007A7B03">
        <w:t xml:space="preserve"> iz Nizozemske in tudi nižji kakor v vseh tistih državah, ki so na lestvici uvrščene pred Nizozemsko, začenši s Singapurjem.</w:t>
      </w:r>
    </w:p>
    <w:p w14:paraId="1B3E84B2" w14:textId="04821642" w:rsidR="00B64F11" w:rsidRPr="007A7B03" w:rsidRDefault="00B64F11" w:rsidP="00A437E8">
      <w:pPr>
        <w:jc w:val="both"/>
      </w:pPr>
      <w:r w:rsidRPr="007A7B03">
        <w:lastRenderedPageBreak/>
        <w:t xml:space="preserve">V nekaterih državah obstajajo </w:t>
      </w:r>
      <w:r w:rsidRPr="007A7B03">
        <w:rPr>
          <w:b/>
        </w:rPr>
        <w:t>razlike pri branju glede na namen</w:t>
      </w:r>
      <w:r w:rsidRPr="007A7B03">
        <w:t xml:space="preserve"> (branje za literarno izkušnjo </w:t>
      </w:r>
      <w:r w:rsidR="00F17E6F" w:rsidRPr="007A7B03">
        <w:t xml:space="preserve">proti branju </w:t>
      </w:r>
      <w:r w:rsidRPr="007A7B03">
        <w:t xml:space="preserve">za pridobivanje in uporabo informacij) </w:t>
      </w:r>
      <w:r w:rsidRPr="007A7B03">
        <w:rPr>
          <w:b/>
        </w:rPr>
        <w:t xml:space="preserve">in procese razumevanja </w:t>
      </w:r>
      <w:r w:rsidRPr="007A7B03">
        <w:t xml:space="preserve">(priklic in preprosto sklepanje </w:t>
      </w:r>
      <w:r w:rsidR="00F17E6F" w:rsidRPr="007A7B03">
        <w:t>proti</w:t>
      </w:r>
      <w:r w:rsidR="00E31A93" w:rsidRPr="007A7B03">
        <w:t xml:space="preserve"> </w:t>
      </w:r>
      <w:r w:rsidRPr="007A7B03">
        <w:t>interpretacij</w:t>
      </w:r>
      <w:r w:rsidR="00F17E6F" w:rsidRPr="007A7B03">
        <w:t>i</w:t>
      </w:r>
      <w:r w:rsidRPr="007A7B03">
        <w:t>, integracij</w:t>
      </w:r>
      <w:r w:rsidR="00F17E6F" w:rsidRPr="007A7B03">
        <w:t>i</w:t>
      </w:r>
      <w:r w:rsidRPr="007A7B03">
        <w:t xml:space="preserve"> in vrednotenj</w:t>
      </w:r>
      <w:r w:rsidR="00F17E6F" w:rsidRPr="007A7B03">
        <w:t>u</w:t>
      </w:r>
      <w:r w:rsidRPr="007A7B03">
        <w:t xml:space="preserve">) </w:t>
      </w:r>
      <w:r w:rsidRPr="007A7B03">
        <w:rPr>
          <w:b/>
        </w:rPr>
        <w:t>glede na povprečni bralni dosežek</w:t>
      </w:r>
      <w:r w:rsidR="00F17E6F" w:rsidRPr="007A7B03">
        <w:rPr>
          <w:b/>
        </w:rPr>
        <w:t>;</w:t>
      </w:r>
      <w:r w:rsidRPr="007A7B03">
        <w:t xml:space="preserve"> </w:t>
      </w:r>
      <w:r w:rsidRPr="007A7B03">
        <w:rPr>
          <w:b/>
        </w:rPr>
        <w:t xml:space="preserve">v Sloveniji teh razlik ni. </w:t>
      </w:r>
    </w:p>
    <w:p w14:paraId="48755EB4" w14:textId="6281C85C" w:rsidR="00E07EDC" w:rsidRPr="007A7B03" w:rsidRDefault="009061DB">
      <w:pPr>
        <w:rPr>
          <w:b/>
          <w:i/>
          <w:sz w:val="20"/>
          <w:szCs w:val="20"/>
        </w:rPr>
      </w:pPr>
      <w:r>
        <w:rPr>
          <w:noProof/>
          <w:sz w:val="20"/>
          <w:szCs w:val="20"/>
        </w:rPr>
        <mc:AlternateContent>
          <mc:Choice Requires="wps">
            <w:drawing>
              <wp:anchor distT="45720" distB="45720" distL="114300" distR="114300" simplePos="0" relativeHeight="251659264" behindDoc="0" locked="0" layoutInCell="1" allowOverlap="1" wp14:anchorId="1B7E2623" wp14:editId="69DC3AD6">
                <wp:simplePos x="0" y="0"/>
                <wp:positionH relativeFrom="margin">
                  <wp:posOffset>2736850</wp:posOffset>
                </wp:positionH>
                <wp:positionV relativeFrom="paragraph">
                  <wp:posOffset>254635</wp:posOffset>
                </wp:positionV>
                <wp:extent cx="3162300" cy="33972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397250"/>
                        </a:xfrm>
                        <a:prstGeom prst="rect">
                          <a:avLst/>
                        </a:prstGeom>
                        <a:solidFill>
                          <a:srgbClr val="FFFFFF"/>
                        </a:solidFill>
                        <a:ln w="9525">
                          <a:solidFill>
                            <a:srgbClr val="000000"/>
                          </a:solidFill>
                          <a:miter lim="800000"/>
                          <a:headEnd/>
                          <a:tailEnd/>
                        </a:ln>
                      </wps:spPr>
                      <wps:txbx>
                        <w:txbxContent>
                          <w:p w14:paraId="35A74CB7" w14:textId="56313F1A" w:rsidR="00687205" w:rsidRDefault="0047275A">
                            <w:r w:rsidRPr="001A1F2C">
                              <w:rPr>
                                <w:b/>
                              </w:rPr>
                              <w:t xml:space="preserve">Trend 2016 </w:t>
                            </w:r>
                            <w:r w:rsidR="00F17E6F">
                              <w:rPr>
                                <w:b/>
                              </w:rPr>
                              <w:t>proti</w:t>
                            </w:r>
                            <w:r w:rsidRPr="001A1F2C">
                              <w:rPr>
                                <w:b/>
                              </w:rPr>
                              <w:t xml:space="preserve"> 2021</w:t>
                            </w:r>
                            <w:r>
                              <w:t xml:space="preserve"> = </w:t>
                            </w:r>
                            <w:r w:rsidRPr="0047275A">
                              <w:rPr>
                                <w:b/>
                                <w:sz w:val="32"/>
                                <w:szCs w:val="32"/>
                              </w:rPr>
                              <w:t>-</w:t>
                            </w:r>
                            <w:r w:rsidRPr="0047275A">
                              <w:rPr>
                                <w:b/>
                              </w:rPr>
                              <w:t>23 točk.</w:t>
                            </w:r>
                            <w:r>
                              <w:rPr>
                                <w:b/>
                              </w:rPr>
                              <w:t xml:space="preserve"> </w:t>
                            </w:r>
                            <w:bookmarkStart w:id="1" w:name="_Hlk135054056"/>
                            <w:r w:rsidRPr="00A844C3">
                              <w:t>Z</w:t>
                            </w:r>
                            <w:r w:rsidRPr="001A1F2C">
                              <w:t>aradi zaokroževanja</w:t>
                            </w:r>
                            <w:r w:rsidR="001A1F2C" w:rsidRPr="001A1F2C">
                              <w:t xml:space="preserve"> na cela števila je prikazan drugače.</w:t>
                            </w:r>
                            <w:r w:rsidR="00E31A93">
                              <w:rPr>
                                <w:b/>
                              </w:rPr>
                              <w:t xml:space="preserve">   </w:t>
                            </w:r>
                            <w:bookmarkEnd w:id="1"/>
                            <w:r w:rsidR="00687205">
                              <w:t xml:space="preserve">Pri trendih za Slovenijo je </w:t>
                            </w:r>
                            <w:r w:rsidR="00E31A93">
                              <w:t>treba</w:t>
                            </w:r>
                            <w:r w:rsidR="00687205">
                              <w:t xml:space="preserve"> izpostaviti, </w:t>
                            </w:r>
                            <w:r w:rsidR="00F63A9C">
                              <w:rPr>
                                <w:rFonts w:cstheme="minorHAnsi"/>
                              </w:rPr>
                              <w:t>da d</w:t>
                            </w:r>
                            <w:r w:rsidR="00F63A9C" w:rsidRPr="00256531">
                              <w:rPr>
                                <w:rFonts w:cstheme="minorHAnsi"/>
                              </w:rPr>
                              <w:t xml:space="preserve">osežki v večini držav </w:t>
                            </w:r>
                            <w:r w:rsidR="00F17E6F">
                              <w:rPr>
                                <w:rFonts w:cstheme="minorHAnsi"/>
                              </w:rPr>
                              <w:t xml:space="preserve">EU </w:t>
                            </w:r>
                            <w:r w:rsidR="00F63A9C" w:rsidRPr="00256531">
                              <w:rPr>
                                <w:rFonts w:cstheme="minorHAnsi"/>
                              </w:rPr>
                              <w:t xml:space="preserve">včasih malo narastejo, padejo in/ali se slednje izmenjuje ali pa med zaporednima cikloma ni statistično značilnih razlik. </w:t>
                            </w:r>
                            <w:r w:rsidR="00F63A9C" w:rsidRPr="00F63A9C">
                              <w:rPr>
                                <w:rFonts w:cstheme="minorHAnsi"/>
                                <w:b/>
                              </w:rPr>
                              <w:t>Slovenija</w:t>
                            </w:r>
                            <w:r w:rsidR="00F63A9C" w:rsidRPr="00256531">
                              <w:rPr>
                                <w:rFonts w:cstheme="minorHAnsi"/>
                              </w:rPr>
                              <w:t xml:space="preserve"> je pravzaprav </w:t>
                            </w:r>
                            <w:r w:rsidR="00F63A9C" w:rsidRPr="00F63A9C">
                              <w:rPr>
                                <w:rFonts w:cstheme="minorHAnsi"/>
                                <w:b/>
                              </w:rPr>
                              <w:t>edina izmed</w:t>
                            </w:r>
                            <w:r w:rsidR="00E31A93">
                              <w:rPr>
                                <w:rFonts w:cstheme="minorHAnsi"/>
                                <w:b/>
                              </w:rPr>
                              <w:t xml:space="preserve"> </w:t>
                            </w:r>
                            <w:r w:rsidR="00F17E6F">
                              <w:rPr>
                                <w:rFonts w:cstheme="minorHAnsi"/>
                                <w:b/>
                              </w:rPr>
                              <w:t xml:space="preserve">v ciklu 2021 </w:t>
                            </w:r>
                            <w:r w:rsidR="00F63A9C" w:rsidRPr="00F63A9C">
                              <w:rPr>
                                <w:rFonts w:cstheme="minorHAnsi"/>
                                <w:b/>
                              </w:rPr>
                              <w:t xml:space="preserve">sodelujočih </w:t>
                            </w:r>
                            <w:r w:rsidR="00E3085B" w:rsidRPr="008A5EC1">
                              <w:rPr>
                                <w:rFonts w:cstheme="minorHAnsi"/>
                                <w:b/>
                              </w:rPr>
                              <w:t>držav EU</w:t>
                            </w:r>
                            <w:r w:rsidR="00F17E6F">
                              <w:rPr>
                                <w:rFonts w:cstheme="minorHAnsi"/>
                              </w:rPr>
                              <w:t xml:space="preserve"> </w:t>
                            </w:r>
                            <w:r w:rsidR="00F63A9C" w:rsidRPr="00256531">
                              <w:rPr>
                                <w:rFonts w:cstheme="minorHAnsi"/>
                              </w:rPr>
                              <w:t>(in vsaj enem predhodnem cikl</w:t>
                            </w:r>
                            <w:r w:rsidR="00297A3F">
                              <w:rPr>
                                <w:rFonts w:cstheme="minorHAnsi"/>
                              </w:rPr>
                              <w:t>u;</w:t>
                            </w:r>
                            <w:r w:rsidR="00F63A9C">
                              <w:rPr>
                                <w:rFonts w:cstheme="minorHAnsi"/>
                              </w:rPr>
                              <w:t xml:space="preserve"> razen Cipra, a </w:t>
                            </w:r>
                            <w:r w:rsidR="00F17E6F">
                              <w:rPr>
                                <w:rFonts w:cstheme="minorHAnsi"/>
                              </w:rPr>
                              <w:t>ta je</w:t>
                            </w:r>
                            <w:r w:rsidR="00F63A9C">
                              <w:rPr>
                                <w:rFonts w:cstheme="minorHAnsi"/>
                              </w:rPr>
                              <w:t xml:space="preserve"> sodeloval le </w:t>
                            </w:r>
                            <w:r w:rsidR="00F17E6F">
                              <w:rPr>
                                <w:rFonts w:cstheme="minorHAnsi"/>
                              </w:rPr>
                              <w:t xml:space="preserve">v ciklih </w:t>
                            </w:r>
                            <w:r w:rsidR="00F63A9C">
                              <w:rPr>
                                <w:rFonts w:cstheme="minorHAnsi"/>
                              </w:rPr>
                              <w:t>2001 in 2021</w:t>
                            </w:r>
                            <w:r w:rsidR="00297A3F">
                              <w:rPr>
                                <w:rFonts w:cstheme="minorHAnsi"/>
                              </w:rPr>
                              <w:t xml:space="preserve">, pri Slovaški </w:t>
                            </w:r>
                            <w:r w:rsidR="008B1962">
                              <w:rPr>
                                <w:rFonts w:cstheme="minorHAnsi"/>
                              </w:rPr>
                              <w:t xml:space="preserve">republiki </w:t>
                            </w:r>
                            <w:r w:rsidR="00297A3F">
                              <w:rPr>
                                <w:rFonts w:cstheme="minorHAnsi"/>
                              </w:rPr>
                              <w:t>so bili višji le med prvima dvema cikloma, potem enaki)</w:t>
                            </w:r>
                            <w:r w:rsidR="00F17E6F">
                              <w:rPr>
                                <w:rFonts w:cstheme="minorHAnsi"/>
                              </w:rPr>
                              <w:t>, kjer je</w:t>
                            </w:r>
                            <w:r w:rsidR="00F63A9C" w:rsidRPr="00256531">
                              <w:rPr>
                                <w:rFonts w:cstheme="minorHAnsi"/>
                              </w:rPr>
                              <w:t xml:space="preserve"> bil </w:t>
                            </w:r>
                            <w:r w:rsidR="00F17E6F">
                              <w:rPr>
                                <w:rFonts w:cstheme="minorHAnsi"/>
                              </w:rPr>
                              <w:t xml:space="preserve">dosežek </w:t>
                            </w:r>
                            <w:r w:rsidR="00F63A9C" w:rsidRPr="00F63A9C">
                              <w:rPr>
                                <w:rFonts w:cstheme="minorHAnsi"/>
                                <w:b/>
                              </w:rPr>
                              <w:t>iz cikla v cikel statistično višji, in sicer vse do leta 2016</w:t>
                            </w:r>
                            <w:r w:rsidR="00F63A9C" w:rsidRPr="00256531">
                              <w:rPr>
                                <w:rFonts w:cstheme="minorHAnsi"/>
                              </w:rPr>
                              <w:t xml:space="preserve">. Se pravi, da se je </w:t>
                            </w:r>
                            <w:r w:rsidR="00F63A9C" w:rsidRPr="00297A3F">
                              <w:rPr>
                                <w:rFonts w:cstheme="minorHAnsi"/>
                                <w:b/>
                              </w:rPr>
                              <w:t>raven bralne pismenosti četrtošolcev stabilno višala, vse od leta 2001 naprej (do leta 2021)</w:t>
                            </w:r>
                            <w:r w:rsidR="00F63A9C" w:rsidRPr="00256531">
                              <w:rPr>
                                <w:rFonts w:cstheme="minorHAnsi"/>
                              </w:rPr>
                              <w:t>. Če primerjamo bralni dosežek leta 2021</w:t>
                            </w:r>
                            <w:r w:rsidR="00E31A93">
                              <w:rPr>
                                <w:rFonts w:cstheme="minorHAnsi"/>
                              </w:rPr>
                              <w:t>,</w:t>
                            </w:r>
                            <w:r w:rsidR="00F63A9C" w:rsidRPr="00256531">
                              <w:rPr>
                                <w:rFonts w:cstheme="minorHAnsi"/>
                              </w:rPr>
                              <w:t xml:space="preserve"> je ta tak, kot je bil bralni dosežek leta 2006.</w:t>
                            </w:r>
                            <w:r w:rsidR="00E31A93">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E2623" id="_x0000_t202" coordsize="21600,21600" o:spt="202" path="m,l,21600r21600,l21600,xe">
                <v:stroke joinstyle="miter"/>
                <v:path gradientshapeok="t" o:connecttype="rect"/>
              </v:shapetype>
              <v:shape id="Text Box 2" o:spid="_x0000_s1026" type="#_x0000_t202" style="position:absolute;margin-left:215.5pt;margin-top:20.05pt;width:249pt;height:2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DYJQ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">
                <v:textbox>
                  <w:txbxContent>
                    <w:p w14:paraId="35A74CB7" w14:textId="56313F1A" w:rsidR="00687205" w:rsidRDefault="0047275A">
                      <w:r w:rsidRPr="001A1F2C">
                        <w:rPr>
                          <w:b/>
                        </w:rPr>
                        <w:t xml:space="preserve">Trend 2016 </w:t>
                      </w:r>
                      <w:r w:rsidR="00F17E6F">
                        <w:rPr>
                          <w:b/>
                        </w:rPr>
                        <w:t>proti</w:t>
                      </w:r>
                      <w:r w:rsidRPr="001A1F2C">
                        <w:rPr>
                          <w:b/>
                        </w:rPr>
                        <w:t xml:space="preserve"> 2021</w:t>
                      </w:r>
                      <w:r>
                        <w:t xml:space="preserve"> = </w:t>
                      </w:r>
                      <w:r w:rsidRPr="0047275A">
                        <w:rPr>
                          <w:b/>
                          <w:sz w:val="32"/>
                          <w:szCs w:val="32"/>
                        </w:rPr>
                        <w:t>-</w:t>
                      </w:r>
                      <w:r w:rsidRPr="0047275A">
                        <w:rPr>
                          <w:b/>
                        </w:rPr>
                        <w:t>23 točk.</w:t>
                      </w:r>
                      <w:r>
                        <w:rPr>
                          <w:b/>
                        </w:rPr>
                        <w:t xml:space="preserve"> </w:t>
                      </w:r>
                      <w:bookmarkStart w:id="2" w:name="_Hlk135054056"/>
                      <w:r w:rsidRPr="00A844C3">
                        <w:t>Z</w:t>
                      </w:r>
                      <w:r w:rsidRPr="001A1F2C">
                        <w:t>aradi zaokroževanja</w:t>
                      </w:r>
                      <w:r w:rsidR="001A1F2C" w:rsidRPr="001A1F2C">
                        <w:t xml:space="preserve"> na cela števila je prikazan drugače.</w:t>
                      </w:r>
                      <w:r w:rsidR="00E31A93">
                        <w:rPr>
                          <w:b/>
                        </w:rPr>
                        <w:t xml:space="preserve">   </w:t>
                      </w:r>
                      <w:bookmarkEnd w:id="2"/>
                      <w:r w:rsidR="00687205">
                        <w:t xml:space="preserve">Pri trendih za Slovenijo je </w:t>
                      </w:r>
                      <w:r w:rsidR="00E31A93">
                        <w:t>treba</w:t>
                      </w:r>
                      <w:r w:rsidR="00687205">
                        <w:t xml:space="preserve"> izpostaviti, </w:t>
                      </w:r>
                      <w:r w:rsidR="00F63A9C">
                        <w:rPr>
                          <w:rFonts w:cstheme="minorHAnsi"/>
                        </w:rPr>
                        <w:t>da d</w:t>
                      </w:r>
                      <w:r w:rsidR="00F63A9C" w:rsidRPr="00256531">
                        <w:rPr>
                          <w:rFonts w:cstheme="minorHAnsi"/>
                        </w:rPr>
                        <w:t xml:space="preserve">osežki v večini držav </w:t>
                      </w:r>
                      <w:r w:rsidR="00F17E6F">
                        <w:rPr>
                          <w:rFonts w:cstheme="minorHAnsi"/>
                        </w:rPr>
                        <w:t xml:space="preserve">EU </w:t>
                      </w:r>
                      <w:r w:rsidR="00F63A9C" w:rsidRPr="00256531">
                        <w:rPr>
                          <w:rFonts w:cstheme="minorHAnsi"/>
                        </w:rPr>
                        <w:t xml:space="preserve">včasih malo narastejo, padejo in/ali se slednje izmenjuje ali pa med zaporednima cikloma ni statistično značilnih razlik. </w:t>
                      </w:r>
                      <w:r w:rsidR="00F63A9C" w:rsidRPr="00F63A9C">
                        <w:rPr>
                          <w:rFonts w:cstheme="minorHAnsi"/>
                          <w:b/>
                        </w:rPr>
                        <w:t>Slovenija</w:t>
                      </w:r>
                      <w:r w:rsidR="00F63A9C" w:rsidRPr="00256531">
                        <w:rPr>
                          <w:rFonts w:cstheme="minorHAnsi"/>
                        </w:rPr>
                        <w:t xml:space="preserve"> je pravzaprav </w:t>
                      </w:r>
                      <w:r w:rsidR="00F63A9C" w:rsidRPr="00F63A9C">
                        <w:rPr>
                          <w:rFonts w:cstheme="minorHAnsi"/>
                          <w:b/>
                        </w:rPr>
                        <w:t>edina izmed</w:t>
                      </w:r>
                      <w:r w:rsidR="00E31A93">
                        <w:rPr>
                          <w:rFonts w:cstheme="minorHAnsi"/>
                          <w:b/>
                        </w:rPr>
                        <w:t xml:space="preserve"> </w:t>
                      </w:r>
                      <w:r w:rsidR="00F17E6F">
                        <w:rPr>
                          <w:rFonts w:cstheme="minorHAnsi"/>
                          <w:b/>
                        </w:rPr>
                        <w:t xml:space="preserve">v ciklu 2021 </w:t>
                      </w:r>
                      <w:r w:rsidR="00F63A9C" w:rsidRPr="00F63A9C">
                        <w:rPr>
                          <w:rFonts w:cstheme="minorHAnsi"/>
                          <w:b/>
                        </w:rPr>
                        <w:t xml:space="preserve">sodelujočih </w:t>
                      </w:r>
                      <w:r w:rsidR="00E3085B" w:rsidRPr="008A5EC1">
                        <w:rPr>
                          <w:rFonts w:cstheme="minorHAnsi"/>
                          <w:b/>
                        </w:rPr>
                        <w:t>držav EU</w:t>
                      </w:r>
                      <w:r w:rsidR="00F17E6F">
                        <w:rPr>
                          <w:rFonts w:cstheme="minorHAnsi"/>
                        </w:rPr>
                        <w:t xml:space="preserve"> </w:t>
                      </w:r>
                      <w:r w:rsidR="00F63A9C" w:rsidRPr="00256531">
                        <w:rPr>
                          <w:rFonts w:cstheme="minorHAnsi"/>
                        </w:rPr>
                        <w:t>(in vsaj enem predhodnem cikl</w:t>
                      </w:r>
                      <w:r w:rsidR="00297A3F">
                        <w:rPr>
                          <w:rFonts w:cstheme="minorHAnsi"/>
                        </w:rPr>
                        <w:t>u;</w:t>
                      </w:r>
                      <w:r w:rsidR="00F63A9C">
                        <w:rPr>
                          <w:rFonts w:cstheme="minorHAnsi"/>
                        </w:rPr>
                        <w:t xml:space="preserve"> razen Cipra, a </w:t>
                      </w:r>
                      <w:r w:rsidR="00F17E6F">
                        <w:rPr>
                          <w:rFonts w:cstheme="minorHAnsi"/>
                        </w:rPr>
                        <w:t>ta je</w:t>
                      </w:r>
                      <w:r w:rsidR="00F63A9C">
                        <w:rPr>
                          <w:rFonts w:cstheme="minorHAnsi"/>
                        </w:rPr>
                        <w:t xml:space="preserve"> sodeloval le </w:t>
                      </w:r>
                      <w:r w:rsidR="00F17E6F">
                        <w:rPr>
                          <w:rFonts w:cstheme="minorHAnsi"/>
                        </w:rPr>
                        <w:t xml:space="preserve">v ciklih </w:t>
                      </w:r>
                      <w:r w:rsidR="00F63A9C">
                        <w:rPr>
                          <w:rFonts w:cstheme="minorHAnsi"/>
                        </w:rPr>
                        <w:t>2001 in 2021</w:t>
                      </w:r>
                      <w:r w:rsidR="00297A3F">
                        <w:rPr>
                          <w:rFonts w:cstheme="minorHAnsi"/>
                        </w:rPr>
                        <w:t xml:space="preserve">, pri Slovaški </w:t>
                      </w:r>
                      <w:r w:rsidR="008B1962">
                        <w:rPr>
                          <w:rFonts w:cstheme="minorHAnsi"/>
                        </w:rPr>
                        <w:t xml:space="preserve">republiki </w:t>
                      </w:r>
                      <w:r w:rsidR="00297A3F">
                        <w:rPr>
                          <w:rFonts w:cstheme="minorHAnsi"/>
                        </w:rPr>
                        <w:t>so bili višji le med prvima dvema cikloma, potem enaki)</w:t>
                      </w:r>
                      <w:r w:rsidR="00F17E6F">
                        <w:rPr>
                          <w:rFonts w:cstheme="minorHAnsi"/>
                        </w:rPr>
                        <w:t>, kjer je</w:t>
                      </w:r>
                      <w:r w:rsidR="00F63A9C" w:rsidRPr="00256531">
                        <w:rPr>
                          <w:rFonts w:cstheme="minorHAnsi"/>
                        </w:rPr>
                        <w:t xml:space="preserve"> bil </w:t>
                      </w:r>
                      <w:r w:rsidR="00F17E6F">
                        <w:rPr>
                          <w:rFonts w:cstheme="minorHAnsi"/>
                        </w:rPr>
                        <w:t xml:space="preserve">dosežek </w:t>
                      </w:r>
                      <w:r w:rsidR="00F63A9C" w:rsidRPr="00F63A9C">
                        <w:rPr>
                          <w:rFonts w:cstheme="minorHAnsi"/>
                          <w:b/>
                        </w:rPr>
                        <w:t>iz cikla v cikel statistično višji, in sicer vse do leta 2016</w:t>
                      </w:r>
                      <w:r w:rsidR="00F63A9C" w:rsidRPr="00256531">
                        <w:rPr>
                          <w:rFonts w:cstheme="minorHAnsi"/>
                        </w:rPr>
                        <w:t xml:space="preserve">. Se pravi, da se je </w:t>
                      </w:r>
                      <w:r w:rsidR="00F63A9C" w:rsidRPr="00297A3F">
                        <w:rPr>
                          <w:rFonts w:cstheme="minorHAnsi"/>
                          <w:b/>
                        </w:rPr>
                        <w:t>raven bralne pismenosti četrtošolcev stabilno višala, vse od leta 2001 naprej (do leta 2021)</w:t>
                      </w:r>
                      <w:r w:rsidR="00F63A9C" w:rsidRPr="00256531">
                        <w:rPr>
                          <w:rFonts w:cstheme="minorHAnsi"/>
                        </w:rPr>
                        <w:t>. Če primerjamo bralni dosežek leta 2021</w:t>
                      </w:r>
                      <w:r w:rsidR="00E31A93">
                        <w:rPr>
                          <w:rFonts w:cstheme="minorHAnsi"/>
                        </w:rPr>
                        <w:t>,</w:t>
                      </w:r>
                      <w:r w:rsidR="00F63A9C" w:rsidRPr="00256531">
                        <w:rPr>
                          <w:rFonts w:cstheme="minorHAnsi"/>
                        </w:rPr>
                        <w:t xml:space="preserve"> je ta tak, kot je bil bralni dosežek leta 2006.</w:t>
                      </w:r>
                      <w:r w:rsidR="00E31A93">
                        <w:rPr>
                          <w:rFonts w:cstheme="minorHAnsi"/>
                        </w:rPr>
                        <w:t xml:space="preserve">   </w:t>
                      </w:r>
                    </w:p>
                  </w:txbxContent>
                </v:textbox>
                <w10:wrap type="square" anchorx="margin"/>
              </v:shape>
            </w:pict>
          </mc:Fallback>
        </mc:AlternateContent>
      </w:r>
      <w:r w:rsidR="00E07EDC" w:rsidRPr="007A7B03">
        <w:rPr>
          <w:b/>
          <w:i/>
          <w:sz w:val="20"/>
          <w:szCs w:val="20"/>
        </w:rPr>
        <w:t>Trendi razlik za Slovenijo</w:t>
      </w:r>
    </w:p>
    <w:p w14:paraId="59BF0884" w14:textId="77777777" w:rsidR="00572D06" w:rsidRPr="007A7B03" w:rsidRDefault="0047275A">
      <w:pPr>
        <w:rPr>
          <w:sz w:val="20"/>
          <w:szCs w:val="20"/>
        </w:rPr>
      </w:pPr>
      <w:r w:rsidRPr="007A7B03">
        <w:rPr>
          <w:noProof/>
          <w:sz w:val="20"/>
          <w:szCs w:val="20"/>
          <w:lang w:eastAsia="sl-SI"/>
        </w:rPr>
        <w:drawing>
          <wp:anchor distT="0" distB="0" distL="114300" distR="114300" simplePos="0" relativeHeight="251660288" behindDoc="0" locked="0" layoutInCell="1" allowOverlap="1" wp14:anchorId="5189C596" wp14:editId="2D6DE02A">
            <wp:simplePos x="0" y="0"/>
            <wp:positionH relativeFrom="column">
              <wp:posOffset>2387600</wp:posOffset>
            </wp:positionH>
            <wp:positionV relativeFrom="paragraph">
              <wp:posOffset>995045</wp:posOffset>
            </wp:positionV>
            <wp:extent cx="374650" cy="374650"/>
            <wp:effectExtent l="0" t="0" r="6350" b="0"/>
            <wp:wrapNone/>
            <wp:docPr id="4" name="Graphic 4"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ghtcurv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4650" cy="374650"/>
                    </a:xfrm>
                    <a:prstGeom prst="rect">
                      <a:avLst/>
                    </a:prstGeom>
                  </pic:spPr>
                </pic:pic>
              </a:graphicData>
            </a:graphic>
          </wp:anchor>
        </w:drawing>
      </w:r>
      <w:r w:rsidRPr="007A7B03">
        <w:rPr>
          <w:noProof/>
          <w:lang w:eastAsia="sl-SI"/>
        </w:rPr>
        <w:drawing>
          <wp:inline distT="0" distB="0" distL="0" distR="0" wp14:anchorId="6B3D6879" wp14:editId="2DDDD328">
            <wp:extent cx="2421780" cy="2514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2258" t="32105" r="68295" b="13535"/>
                    <a:stretch/>
                  </pic:blipFill>
                  <pic:spPr bwMode="auto">
                    <a:xfrm>
                      <a:off x="0" y="0"/>
                      <a:ext cx="2448578" cy="2542425"/>
                    </a:xfrm>
                    <a:prstGeom prst="rect">
                      <a:avLst/>
                    </a:prstGeom>
                    <a:ln>
                      <a:noFill/>
                    </a:ln>
                    <a:extLst>
                      <a:ext uri="{53640926-AAD7-44D8-BBD7-CCE9431645EC}">
                        <a14:shadowObscured xmlns:a14="http://schemas.microsoft.com/office/drawing/2010/main"/>
                      </a:ext>
                    </a:extLst>
                  </pic:spPr>
                </pic:pic>
              </a:graphicData>
            </a:graphic>
          </wp:inline>
        </w:drawing>
      </w:r>
    </w:p>
    <w:p w14:paraId="10B683BA" w14:textId="77777777" w:rsidR="0047275A" w:rsidRPr="007A7B03" w:rsidRDefault="0047275A">
      <w:r w:rsidRPr="007A7B03">
        <w:t xml:space="preserve">Slika 2: Trendi bralnih dosežkov v Sloveniji. </w:t>
      </w:r>
    </w:p>
    <w:p w14:paraId="44E82CE5" w14:textId="77777777" w:rsidR="00F63A9C" w:rsidRPr="007A7B03" w:rsidRDefault="00F63A9C" w:rsidP="001A1F2C">
      <w:pPr>
        <w:rPr>
          <w:rFonts w:cstheme="minorHAnsi"/>
        </w:rPr>
      </w:pPr>
    </w:p>
    <w:p w14:paraId="1A0F1B1F" w14:textId="77777777" w:rsidR="00297A3F" w:rsidRPr="007A7B03" w:rsidRDefault="00297A3F" w:rsidP="001A1F2C">
      <w:pPr>
        <w:rPr>
          <w:rFonts w:cstheme="minorHAnsi"/>
        </w:rPr>
      </w:pPr>
    </w:p>
    <w:p w14:paraId="50902424" w14:textId="4B1E54D0" w:rsidR="001A1F2C" w:rsidRPr="008A5EC1" w:rsidRDefault="001A1F2C" w:rsidP="00A437E8">
      <w:pPr>
        <w:jc w:val="both"/>
        <w:rPr>
          <w:rFonts w:cstheme="minorHAnsi"/>
          <w:b/>
        </w:rPr>
      </w:pPr>
      <w:r w:rsidRPr="007A7B03">
        <w:rPr>
          <w:rFonts w:cstheme="minorHAnsi"/>
        </w:rPr>
        <w:t xml:space="preserve">Iz slike 2 vidimo, da so učenci v Sloveniji z vsakim ciklom raziskave PIRLS dosegali višje povprečne bralne dosežke, vse do leta 2021, ko je prvič zaznati upad v bralnih dosežkih četrtošolcev v Sloveniji. </w:t>
      </w:r>
      <w:r w:rsidRPr="008A5EC1">
        <w:rPr>
          <w:rFonts w:cstheme="minorHAnsi"/>
          <w:b/>
        </w:rPr>
        <w:t xml:space="preserve">V letu 2021 so </w:t>
      </w:r>
      <w:r w:rsidR="00B418E3" w:rsidRPr="008A5EC1">
        <w:rPr>
          <w:rFonts w:cstheme="minorHAnsi"/>
          <w:b/>
        </w:rPr>
        <w:t>naši učenci dosegli 23 točk manj kot leta 2016.</w:t>
      </w:r>
      <w:r w:rsidR="00E31A93" w:rsidRPr="008A5EC1">
        <w:rPr>
          <w:rFonts w:cstheme="minorHAnsi"/>
          <w:b/>
        </w:rPr>
        <w:t xml:space="preserve"> </w:t>
      </w:r>
    </w:p>
    <w:p w14:paraId="44C7558A" w14:textId="79B06A83" w:rsidR="001A1F2C" w:rsidRPr="007A7B03" w:rsidRDefault="001A1F2C" w:rsidP="00A437E8">
      <w:pPr>
        <w:jc w:val="both"/>
        <w:rPr>
          <w:rFonts w:cstheme="minorHAnsi"/>
        </w:rPr>
      </w:pPr>
      <w:r w:rsidRPr="007A7B03">
        <w:rPr>
          <w:rFonts w:cstheme="minorHAnsi"/>
        </w:rPr>
        <w:t xml:space="preserve">Upad bralnih dosežkov v letu 2021 ni le značilnost Slovenije. Že pri sliki 1 smo omenili, da je mogoča </w:t>
      </w:r>
      <w:r w:rsidR="0013373E">
        <w:rPr>
          <w:rFonts w:cstheme="minorHAnsi"/>
        </w:rPr>
        <w:t>primerjava</w:t>
      </w:r>
      <w:r w:rsidRPr="007A7B03">
        <w:rPr>
          <w:rFonts w:cstheme="minorHAnsi"/>
        </w:rPr>
        <w:t xml:space="preserve"> trendov med cikloma 2016 in 2021 (brez držav z zapoznelim testiranjem in referenčnimi udeleženkami) med 39 državami oziroma izobraževalnimi sistemi. Poglejmo si podrobneje</w:t>
      </w:r>
      <w:r w:rsidR="00E31A93" w:rsidRPr="007A7B03">
        <w:rPr>
          <w:rFonts w:cstheme="minorHAnsi"/>
        </w:rPr>
        <w:t>,</w:t>
      </w:r>
      <w:r w:rsidRPr="007A7B03">
        <w:rPr>
          <w:rFonts w:cstheme="minorHAnsi"/>
        </w:rPr>
        <w:t xml:space="preserve"> katere sodelujoče države beležijo razlike pri trendih med tema dvema cikloma:</w:t>
      </w:r>
    </w:p>
    <w:p w14:paraId="2E296E85" w14:textId="7FF30D76" w:rsidR="001A1F2C" w:rsidRPr="007A7B03" w:rsidRDefault="001A1F2C" w:rsidP="00A437E8">
      <w:pPr>
        <w:pStyle w:val="ListParagraph"/>
        <w:numPr>
          <w:ilvl w:val="0"/>
          <w:numId w:val="1"/>
        </w:numPr>
        <w:jc w:val="both"/>
        <w:rPr>
          <w:rFonts w:cstheme="minorHAnsi"/>
        </w:rPr>
      </w:pPr>
      <w:r w:rsidRPr="007A7B03">
        <w:rPr>
          <w:rFonts w:cstheme="minorHAnsi"/>
          <w:i/>
        </w:rPr>
        <w:t>Višji dosežek leta 2021</w:t>
      </w:r>
      <w:r w:rsidRPr="007A7B03">
        <w:rPr>
          <w:rFonts w:cstheme="minorHAnsi"/>
        </w:rPr>
        <w:t xml:space="preserve"> (v primerjavi z letom 2016): </w:t>
      </w:r>
      <w:r w:rsidRPr="007A7B03">
        <w:rPr>
          <w:rFonts w:cstheme="minorHAnsi"/>
          <w:u w:val="single"/>
        </w:rPr>
        <w:t>Egipt</w:t>
      </w:r>
      <w:r w:rsidR="00E3085B" w:rsidRPr="0013373E">
        <w:rPr>
          <w:rFonts w:cstheme="minorHAnsi"/>
        </w:rPr>
        <w:t xml:space="preserve"> </w:t>
      </w:r>
      <w:r w:rsidRPr="007A7B03">
        <w:rPr>
          <w:rFonts w:cstheme="minorHAnsi"/>
        </w:rPr>
        <w:t xml:space="preserve">(ki je sicer v letu 2021 pri dnu lestvice bralnega dosežka in precej pod srednjo vrednostjo lestvice PIRLS; sicer pa gre za razliko 48 točk), </w:t>
      </w:r>
      <w:r w:rsidRPr="007A7B03">
        <w:rPr>
          <w:rFonts w:cstheme="minorHAnsi"/>
          <w:u w:val="single"/>
        </w:rPr>
        <w:t>Oman</w:t>
      </w:r>
      <w:r w:rsidRPr="007A7B03">
        <w:rPr>
          <w:rFonts w:cstheme="minorHAnsi"/>
        </w:rPr>
        <w:t xml:space="preserve"> (ki je sicer pod srednjo vrednostjo letvice PIRLS, a z razliko 11 točk) in </w:t>
      </w:r>
      <w:r w:rsidRPr="007A7B03">
        <w:rPr>
          <w:rFonts w:cstheme="minorHAnsi"/>
          <w:u w:val="single"/>
        </w:rPr>
        <w:t>Singapur</w:t>
      </w:r>
      <w:r w:rsidRPr="007A7B03">
        <w:rPr>
          <w:rFonts w:cstheme="minorHAnsi"/>
        </w:rPr>
        <w:t xml:space="preserve"> (z razliko 11 točk, ki pa je država prav na vrhu lestvice). </w:t>
      </w:r>
    </w:p>
    <w:p w14:paraId="0681A090" w14:textId="77777777" w:rsidR="001A1F2C" w:rsidRPr="007A7B03" w:rsidRDefault="001A1F2C" w:rsidP="00A437E8">
      <w:pPr>
        <w:pStyle w:val="ListParagraph"/>
        <w:numPr>
          <w:ilvl w:val="0"/>
          <w:numId w:val="1"/>
        </w:numPr>
        <w:jc w:val="both"/>
        <w:rPr>
          <w:rFonts w:cstheme="minorHAnsi"/>
        </w:rPr>
      </w:pPr>
      <w:r w:rsidRPr="007A7B03">
        <w:rPr>
          <w:rFonts w:cstheme="minorHAnsi"/>
          <w:i/>
        </w:rPr>
        <w:t xml:space="preserve">Ni statistično značilnih razlik </w:t>
      </w:r>
      <w:r w:rsidRPr="007A7B03">
        <w:rPr>
          <w:rFonts w:cstheme="minorHAnsi"/>
        </w:rPr>
        <w:t xml:space="preserve">(med cikloma 2016 in 2021): </w:t>
      </w:r>
      <w:r w:rsidRPr="007A7B03">
        <w:rPr>
          <w:rFonts w:cstheme="minorHAnsi"/>
          <w:u w:val="single"/>
        </w:rPr>
        <w:t>Avstralija</w:t>
      </w:r>
      <w:r w:rsidRPr="007A7B03">
        <w:rPr>
          <w:rFonts w:cstheme="minorHAnsi"/>
        </w:rPr>
        <w:t xml:space="preserve">, </w:t>
      </w:r>
      <w:r w:rsidRPr="007A7B03">
        <w:rPr>
          <w:rFonts w:cstheme="minorHAnsi"/>
          <w:u w:val="single"/>
        </w:rPr>
        <w:t>Belgija (francoski del)</w:t>
      </w:r>
      <w:r w:rsidRPr="007A7B03">
        <w:rPr>
          <w:rFonts w:cstheme="minorHAnsi"/>
        </w:rPr>
        <w:t xml:space="preserve">, </w:t>
      </w:r>
      <w:r w:rsidRPr="007A7B03">
        <w:rPr>
          <w:rFonts w:cstheme="minorHAnsi"/>
          <w:u w:val="single"/>
        </w:rPr>
        <w:t>Češka republika</w:t>
      </w:r>
      <w:r w:rsidRPr="007A7B03">
        <w:rPr>
          <w:rFonts w:cstheme="minorHAnsi"/>
        </w:rPr>
        <w:t xml:space="preserve">, </w:t>
      </w:r>
      <w:r w:rsidRPr="007A7B03">
        <w:rPr>
          <w:rFonts w:cstheme="minorHAnsi"/>
          <w:u w:val="single"/>
        </w:rPr>
        <w:t>Anglija</w:t>
      </w:r>
      <w:r w:rsidRPr="007A7B03">
        <w:rPr>
          <w:rFonts w:cstheme="minorHAnsi"/>
        </w:rPr>
        <w:t xml:space="preserve">, </w:t>
      </w:r>
      <w:r w:rsidRPr="007A7B03">
        <w:rPr>
          <w:rFonts w:cstheme="minorHAnsi"/>
          <w:u w:val="single"/>
        </w:rPr>
        <w:t>Francija</w:t>
      </w:r>
      <w:r w:rsidRPr="007A7B03">
        <w:rPr>
          <w:rFonts w:cstheme="minorHAnsi"/>
        </w:rPr>
        <w:t xml:space="preserve">, </w:t>
      </w:r>
      <w:r w:rsidRPr="007A7B03">
        <w:rPr>
          <w:rFonts w:cstheme="minorHAnsi"/>
          <w:u w:val="single"/>
        </w:rPr>
        <w:t>Hongkong</w:t>
      </w:r>
      <w:r w:rsidRPr="007A7B03">
        <w:rPr>
          <w:rFonts w:cstheme="minorHAnsi"/>
        </w:rPr>
        <w:t xml:space="preserve">, </w:t>
      </w:r>
      <w:r w:rsidRPr="007A7B03">
        <w:rPr>
          <w:rFonts w:cstheme="minorHAnsi"/>
          <w:u w:val="single"/>
        </w:rPr>
        <w:t>Nova Zelandija</w:t>
      </w:r>
      <w:r w:rsidRPr="007A7B03">
        <w:rPr>
          <w:rFonts w:cstheme="minorHAnsi"/>
        </w:rPr>
        <w:t xml:space="preserve"> in </w:t>
      </w:r>
      <w:r w:rsidRPr="007A7B03">
        <w:rPr>
          <w:rFonts w:cstheme="minorHAnsi"/>
          <w:u w:val="single"/>
        </w:rPr>
        <w:t>Slovaška republika</w:t>
      </w:r>
      <w:r w:rsidRPr="007A7B03">
        <w:rPr>
          <w:rFonts w:cstheme="minorHAnsi"/>
        </w:rPr>
        <w:t xml:space="preserve">. </w:t>
      </w:r>
    </w:p>
    <w:p w14:paraId="35F9694A" w14:textId="1AA922CB" w:rsidR="001A1F2C" w:rsidRPr="007A7B03" w:rsidRDefault="001A1F2C" w:rsidP="00A437E8">
      <w:pPr>
        <w:pStyle w:val="ListParagraph"/>
        <w:numPr>
          <w:ilvl w:val="0"/>
          <w:numId w:val="1"/>
        </w:numPr>
        <w:jc w:val="both"/>
        <w:rPr>
          <w:rFonts w:cstheme="minorHAnsi"/>
        </w:rPr>
      </w:pPr>
      <w:r w:rsidRPr="007A7B03">
        <w:rPr>
          <w:rFonts w:cstheme="minorHAnsi"/>
          <w:i/>
        </w:rPr>
        <w:t xml:space="preserve">Nižji dosežki leta 2021 </w:t>
      </w:r>
      <w:r w:rsidRPr="007A7B03">
        <w:rPr>
          <w:rFonts w:cstheme="minorHAnsi"/>
        </w:rPr>
        <w:t xml:space="preserve">(v primerjavi z letom 2016): </w:t>
      </w:r>
      <w:r w:rsidRPr="007A7B03">
        <w:rPr>
          <w:rFonts w:cstheme="minorHAnsi"/>
          <w:color w:val="0070C0"/>
          <w:u w:val="single"/>
        </w:rPr>
        <w:t>Avstrija</w:t>
      </w:r>
      <w:r w:rsidRPr="007A7B03">
        <w:rPr>
          <w:rFonts w:cstheme="minorHAnsi"/>
        </w:rPr>
        <w:t xml:space="preserve"> (11 točk), </w:t>
      </w:r>
      <w:r w:rsidRPr="007A7B03">
        <w:rPr>
          <w:rFonts w:cstheme="minorHAnsi"/>
          <w:u w:val="single"/>
        </w:rPr>
        <w:t>Azerbajdžan</w:t>
      </w:r>
      <w:r w:rsidRPr="007A7B03">
        <w:rPr>
          <w:rFonts w:cstheme="minorHAnsi"/>
        </w:rPr>
        <w:t xml:space="preserve"> (32 točk), </w:t>
      </w:r>
      <w:r w:rsidRPr="007A7B03">
        <w:rPr>
          <w:rFonts w:cstheme="minorHAnsi"/>
          <w:color w:val="538135" w:themeColor="accent6" w:themeShade="BF"/>
          <w:u w:val="single"/>
        </w:rPr>
        <w:t>Belgija (flamski del</w:t>
      </w:r>
      <w:r w:rsidRPr="007A7B03">
        <w:rPr>
          <w:rFonts w:cstheme="minorHAnsi"/>
        </w:rPr>
        <w:t xml:space="preserve">, 14 točk), </w:t>
      </w:r>
      <w:r w:rsidRPr="007A7B03">
        <w:rPr>
          <w:rFonts w:cstheme="minorHAnsi"/>
          <w:color w:val="0070C0"/>
          <w:u w:val="single"/>
        </w:rPr>
        <w:t>Bolgarija</w:t>
      </w:r>
      <w:r w:rsidRPr="007A7B03">
        <w:rPr>
          <w:rFonts w:cstheme="minorHAnsi"/>
        </w:rPr>
        <w:t xml:space="preserve"> (12 točk), </w:t>
      </w:r>
      <w:r w:rsidRPr="007A7B03">
        <w:rPr>
          <w:rFonts w:cstheme="minorHAnsi"/>
          <w:u w:val="single"/>
        </w:rPr>
        <w:t>Kitajski Tajpej</w:t>
      </w:r>
      <w:r w:rsidRPr="007A7B03">
        <w:rPr>
          <w:rFonts w:cstheme="minorHAnsi"/>
        </w:rPr>
        <w:t xml:space="preserve"> (15 točk), </w:t>
      </w:r>
      <w:r w:rsidRPr="007A7B03">
        <w:rPr>
          <w:rFonts w:cstheme="minorHAnsi"/>
          <w:color w:val="0070C0"/>
          <w:u w:val="single"/>
        </w:rPr>
        <w:t>Danska</w:t>
      </w:r>
      <w:r w:rsidRPr="007A7B03">
        <w:rPr>
          <w:rFonts w:cstheme="minorHAnsi"/>
          <w:color w:val="0070C0"/>
        </w:rPr>
        <w:t xml:space="preserve"> </w:t>
      </w:r>
      <w:r w:rsidRPr="007A7B03">
        <w:rPr>
          <w:rFonts w:cstheme="minorHAnsi"/>
        </w:rPr>
        <w:t xml:space="preserve">(8 točk), </w:t>
      </w:r>
      <w:r w:rsidRPr="007A7B03">
        <w:rPr>
          <w:rFonts w:cstheme="minorHAnsi"/>
          <w:color w:val="0070C0"/>
          <w:u w:val="single"/>
        </w:rPr>
        <w:t>Finska</w:t>
      </w:r>
      <w:r w:rsidRPr="007A7B03">
        <w:rPr>
          <w:rFonts w:cstheme="minorHAnsi"/>
          <w:color w:val="0070C0"/>
        </w:rPr>
        <w:t xml:space="preserve"> </w:t>
      </w:r>
      <w:r w:rsidRPr="007A7B03">
        <w:rPr>
          <w:rFonts w:cstheme="minorHAnsi"/>
        </w:rPr>
        <w:t xml:space="preserve">(17 točk), </w:t>
      </w:r>
      <w:r w:rsidRPr="007A7B03">
        <w:rPr>
          <w:rFonts w:cstheme="minorHAnsi"/>
          <w:u w:val="single"/>
        </w:rPr>
        <w:t>Nemčija</w:t>
      </w:r>
      <w:r w:rsidRPr="007A7B03">
        <w:rPr>
          <w:rFonts w:cstheme="minorHAnsi"/>
        </w:rPr>
        <w:t xml:space="preserve"> (13 točk), </w:t>
      </w:r>
      <w:r w:rsidRPr="007A7B03">
        <w:rPr>
          <w:rFonts w:cstheme="minorHAnsi"/>
          <w:u w:val="single"/>
        </w:rPr>
        <w:t xml:space="preserve">Iran </w:t>
      </w:r>
      <w:r w:rsidRPr="007A7B03">
        <w:rPr>
          <w:rFonts w:cstheme="minorHAnsi"/>
        </w:rPr>
        <w:t xml:space="preserve">(15 točk), </w:t>
      </w:r>
      <w:r w:rsidRPr="007A7B03">
        <w:rPr>
          <w:rFonts w:cstheme="minorHAnsi"/>
          <w:u w:val="single"/>
        </w:rPr>
        <w:t>Izrael</w:t>
      </w:r>
      <w:r w:rsidRPr="007A7B03">
        <w:rPr>
          <w:rFonts w:cstheme="minorHAnsi"/>
        </w:rPr>
        <w:t xml:space="preserve"> (20 točk), </w:t>
      </w:r>
      <w:r w:rsidRPr="007A7B03">
        <w:rPr>
          <w:rFonts w:cstheme="minorHAnsi"/>
          <w:color w:val="0070C0"/>
          <w:u w:val="single"/>
        </w:rPr>
        <w:t>Italija</w:t>
      </w:r>
      <w:r w:rsidRPr="007A7B03">
        <w:rPr>
          <w:rFonts w:cstheme="minorHAnsi"/>
        </w:rPr>
        <w:t xml:space="preserve"> (11 točk), </w:t>
      </w:r>
      <w:r w:rsidRPr="007A7B03">
        <w:rPr>
          <w:rFonts w:cstheme="minorHAnsi"/>
          <w:u w:val="single"/>
        </w:rPr>
        <w:t>Makao</w:t>
      </w:r>
      <w:r w:rsidRPr="007A7B03">
        <w:rPr>
          <w:rFonts w:cstheme="minorHAnsi"/>
        </w:rPr>
        <w:t xml:space="preserve"> (10 točk), </w:t>
      </w:r>
      <w:r w:rsidRPr="007A7B03">
        <w:rPr>
          <w:rFonts w:cstheme="minorHAnsi"/>
          <w:color w:val="0070C0"/>
          <w:u w:val="single"/>
        </w:rPr>
        <w:t>Nizozemska</w:t>
      </w:r>
      <w:r w:rsidRPr="007A7B03">
        <w:rPr>
          <w:rFonts w:cstheme="minorHAnsi"/>
        </w:rPr>
        <w:t xml:space="preserve"> (18 točk), </w:t>
      </w:r>
      <w:r w:rsidRPr="007A7B03">
        <w:rPr>
          <w:rFonts w:cstheme="minorHAnsi"/>
          <w:u w:val="single"/>
        </w:rPr>
        <w:t>Norveška</w:t>
      </w:r>
      <w:r w:rsidRPr="007A7B03">
        <w:rPr>
          <w:rFonts w:cstheme="minorHAnsi"/>
        </w:rPr>
        <w:t xml:space="preserve"> s 5. razredom (20 točk), </w:t>
      </w:r>
      <w:r w:rsidRPr="007A7B03">
        <w:rPr>
          <w:rFonts w:cstheme="minorHAnsi"/>
          <w:color w:val="0070C0"/>
          <w:u w:val="single"/>
        </w:rPr>
        <w:t>Poljska</w:t>
      </w:r>
      <w:r w:rsidRPr="007A7B03">
        <w:rPr>
          <w:rFonts w:cstheme="minorHAnsi"/>
        </w:rPr>
        <w:t xml:space="preserve"> (16 točk), </w:t>
      </w:r>
      <w:r w:rsidRPr="007A7B03">
        <w:rPr>
          <w:rFonts w:cstheme="minorHAnsi"/>
          <w:u w:val="single"/>
        </w:rPr>
        <w:t>Portugalska</w:t>
      </w:r>
      <w:r w:rsidRPr="007A7B03">
        <w:rPr>
          <w:rFonts w:cstheme="minorHAnsi"/>
        </w:rPr>
        <w:t xml:space="preserve"> (8 točk), </w:t>
      </w:r>
      <w:r w:rsidRPr="007A7B03">
        <w:rPr>
          <w:rFonts w:cstheme="minorHAnsi"/>
          <w:u w:val="single"/>
        </w:rPr>
        <w:t>Ruska federacija</w:t>
      </w:r>
      <w:r w:rsidRPr="007A7B03">
        <w:rPr>
          <w:rFonts w:cstheme="minorHAnsi"/>
        </w:rPr>
        <w:t xml:space="preserve"> (14 točk), </w:t>
      </w:r>
      <w:r w:rsidRPr="0013373E">
        <w:rPr>
          <w:rFonts w:cstheme="minorHAnsi"/>
          <w:color w:val="BF8F00" w:themeColor="accent4" w:themeShade="BF"/>
          <w:u w:val="single"/>
        </w:rPr>
        <w:t>Slovenija</w:t>
      </w:r>
      <w:r w:rsidRPr="0013373E">
        <w:rPr>
          <w:rFonts w:cstheme="minorHAnsi"/>
          <w:color w:val="BF8F00" w:themeColor="accent4" w:themeShade="BF"/>
        </w:rPr>
        <w:t xml:space="preserve"> (23 točk)</w:t>
      </w:r>
      <w:r w:rsidRPr="0013373E">
        <w:rPr>
          <w:rFonts w:cstheme="minorHAnsi"/>
        </w:rPr>
        <w:t xml:space="preserve">, </w:t>
      </w:r>
      <w:r w:rsidRPr="007A7B03">
        <w:rPr>
          <w:rFonts w:cstheme="minorHAnsi"/>
          <w:u w:val="single"/>
        </w:rPr>
        <w:t>Južna Afrika</w:t>
      </w:r>
      <w:r w:rsidRPr="007A7B03">
        <w:rPr>
          <w:rFonts w:cstheme="minorHAnsi"/>
        </w:rPr>
        <w:t xml:space="preserve"> (31 točk, pri čemer je </w:t>
      </w:r>
      <w:r w:rsidR="00E31A93" w:rsidRPr="007A7B03">
        <w:rPr>
          <w:rFonts w:cstheme="minorHAnsi"/>
        </w:rPr>
        <w:t>treba</w:t>
      </w:r>
      <w:r w:rsidRPr="007A7B03">
        <w:rPr>
          <w:rFonts w:cstheme="minorHAnsi"/>
        </w:rPr>
        <w:t xml:space="preserve"> biti pazljiv pri interpretaciji zaradi velikega deleža učencev z zelo nizkimi dosežki), </w:t>
      </w:r>
      <w:r w:rsidRPr="007A7B03">
        <w:rPr>
          <w:rFonts w:cstheme="minorHAnsi"/>
          <w:u w:val="single"/>
        </w:rPr>
        <w:t xml:space="preserve">Španija </w:t>
      </w:r>
      <w:r w:rsidRPr="007A7B03">
        <w:rPr>
          <w:rFonts w:cstheme="minorHAnsi"/>
        </w:rPr>
        <w:t xml:space="preserve">(7 točk), </w:t>
      </w:r>
      <w:r w:rsidRPr="007A7B03">
        <w:rPr>
          <w:rFonts w:cstheme="minorHAnsi"/>
          <w:color w:val="0070C0"/>
          <w:u w:val="single"/>
        </w:rPr>
        <w:t>Švedska</w:t>
      </w:r>
      <w:r w:rsidRPr="007A7B03">
        <w:rPr>
          <w:rFonts w:cstheme="minorHAnsi"/>
        </w:rPr>
        <w:t xml:space="preserve"> (12 točk).</w:t>
      </w:r>
      <w:r w:rsidR="00E31A93" w:rsidRPr="007A7B03">
        <w:rPr>
          <w:rFonts w:cstheme="minorHAnsi"/>
        </w:rPr>
        <w:t xml:space="preserve"> </w:t>
      </w:r>
    </w:p>
    <w:p w14:paraId="3C48FF78" w14:textId="65A873E6" w:rsidR="00572D06" w:rsidRPr="007A7B03" w:rsidRDefault="001A1F2C">
      <w:pPr>
        <w:rPr>
          <w:rFonts w:cstheme="minorHAnsi"/>
          <w:sz w:val="20"/>
          <w:szCs w:val="20"/>
        </w:rPr>
      </w:pPr>
      <w:r w:rsidRPr="007A7B03">
        <w:rPr>
          <w:rFonts w:cstheme="minorHAnsi"/>
          <w:sz w:val="20"/>
          <w:szCs w:val="20"/>
        </w:rPr>
        <w:t>Opomba: države EU, ki imajo sicer</w:t>
      </w:r>
      <w:r w:rsidR="00E31A93" w:rsidRPr="007A7B03">
        <w:rPr>
          <w:rFonts w:cstheme="minorHAnsi"/>
          <w:sz w:val="20"/>
          <w:szCs w:val="20"/>
        </w:rPr>
        <w:t xml:space="preserve"> v letu 2021</w:t>
      </w:r>
      <w:r w:rsidRPr="007A7B03">
        <w:rPr>
          <w:rFonts w:cstheme="minorHAnsi"/>
          <w:sz w:val="20"/>
          <w:szCs w:val="20"/>
        </w:rPr>
        <w:t xml:space="preserve"> višji bralni dosežek kot Slovenija</w:t>
      </w:r>
      <w:r w:rsidR="00E31A93" w:rsidRPr="007A7B03">
        <w:rPr>
          <w:rFonts w:cstheme="minorHAnsi"/>
          <w:sz w:val="20"/>
          <w:szCs w:val="20"/>
        </w:rPr>
        <w:t xml:space="preserve">, </w:t>
      </w:r>
      <w:r w:rsidRPr="007A7B03">
        <w:rPr>
          <w:rFonts w:cstheme="minorHAnsi"/>
          <w:sz w:val="20"/>
          <w:szCs w:val="20"/>
        </w:rPr>
        <w:t>smo obarvali modro, države EU, ki imajo v letu 2021 nižji dosežek od Slovenije</w:t>
      </w:r>
      <w:r w:rsidR="00E31A93" w:rsidRPr="007A7B03">
        <w:rPr>
          <w:rFonts w:cstheme="minorHAnsi"/>
          <w:sz w:val="20"/>
          <w:szCs w:val="20"/>
        </w:rPr>
        <w:t>,</w:t>
      </w:r>
      <w:r w:rsidRPr="007A7B03">
        <w:rPr>
          <w:rFonts w:cstheme="minorHAnsi"/>
          <w:sz w:val="20"/>
          <w:szCs w:val="20"/>
        </w:rPr>
        <w:t xml:space="preserve"> pa z zeleno. </w:t>
      </w:r>
    </w:p>
    <w:p w14:paraId="577D724A" w14:textId="031AD83E" w:rsidR="00234C0B" w:rsidRPr="007A7B03" w:rsidRDefault="00E26953" w:rsidP="00A437E8">
      <w:pPr>
        <w:jc w:val="both"/>
      </w:pPr>
      <w:r w:rsidRPr="007A7B03">
        <w:lastRenderedPageBreak/>
        <w:t>V ciklu 2021 je sodelovalo več držav kot leta 201</w:t>
      </w:r>
      <w:r w:rsidR="0013373E">
        <w:t>6</w:t>
      </w:r>
      <w:r w:rsidRPr="007A7B03">
        <w:t xml:space="preserve">, zaradi tega, pa tudi zaradi tega, ker razlike v točkah vedno še ne pomenijo, da med dosežki obstaja statistično značilna razlika, je zgolj primerjanje rangov na lestvici lahko tudi zavajajoče. Zato je bolje med seboj </w:t>
      </w:r>
      <w:r w:rsidR="00E31A93" w:rsidRPr="007A7B03">
        <w:t xml:space="preserve">primerjati </w:t>
      </w:r>
      <w:r w:rsidRPr="007A7B03">
        <w:t>posamezne države in njihove dosežke. Če dosežek Slovenije v letu 2021 primerjamo</w:t>
      </w:r>
      <w:r w:rsidR="00E31A93" w:rsidRPr="007A7B03">
        <w:t>,</w:t>
      </w:r>
      <w:r w:rsidRPr="007A7B03">
        <w:t xml:space="preserve"> tako dobimo naslednjo sliko</w:t>
      </w:r>
      <w:r w:rsidR="00E31A93" w:rsidRPr="007A7B03">
        <w:t>:</w:t>
      </w:r>
      <w:r w:rsidRPr="007A7B03">
        <w:t xml:space="preserve"> </w:t>
      </w:r>
      <w:r w:rsidRPr="007A7B03">
        <w:rPr>
          <w:color w:val="7030A0"/>
        </w:rPr>
        <w:t>13 držav, ki je imelo</w:t>
      </w:r>
      <w:r w:rsidR="00E31A93" w:rsidRPr="007A7B03">
        <w:rPr>
          <w:color w:val="7030A0"/>
        </w:rPr>
        <w:t xml:space="preserve"> leta 2016</w:t>
      </w:r>
      <w:r w:rsidRPr="007A7B03">
        <w:rPr>
          <w:color w:val="7030A0"/>
        </w:rPr>
        <w:t xml:space="preserve"> višji dosežek od Slovenije ima višji dosežek tudi v letu 2021</w:t>
      </w:r>
      <w:r w:rsidRPr="007A7B03">
        <w:t xml:space="preserve">, </w:t>
      </w:r>
      <w:r w:rsidR="00E31A93" w:rsidRPr="007A7B03">
        <w:t xml:space="preserve">in sicer </w:t>
      </w:r>
      <w:r w:rsidRPr="007A7B03">
        <w:t>gre za naslednje: Singapur, Irska*, Hongkong, Ruska federacija, Severna Irska*, Anglija, Finska, Poljska, Kitajski Tajpej, Švedska, Madžarska*, Norveška (5), Latvija.</w:t>
      </w:r>
      <w:r w:rsidRPr="007A7B03">
        <w:rPr>
          <w:rStyle w:val="FootnoteReference"/>
        </w:rPr>
        <w:footnoteReference w:id="1"/>
      </w:r>
      <w:r w:rsidRPr="007A7B03">
        <w:t xml:space="preserve"> </w:t>
      </w:r>
      <w:r w:rsidRPr="007A7B03">
        <w:rPr>
          <w:color w:val="7030A0"/>
        </w:rPr>
        <w:t xml:space="preserve">10 držav je imelo </w:t>
      </w:r>
      <w:r w:rsidR="00E31A93" w:rsidRPr="007A7B03">
        <w:rPr>
          <w:color w:val="7030A0"/>
        </w:rPr>
        <w:t xml:space="preserve">leta </w:t>
      </w:r>
      <w:r w:rsidRPr="007A7B03">
        <w:rPr>
          <w:color w:val="7030A0"/>
        </w:rPr>
        <w:t>2016 enak dosežek kot Slovenija, v letu 2021 pa višjega</w:t>
      </w:r>
      <w:r w:rsidRPr="007A7B03">
        <w:t xml:space="preserve">: Litva*, Združene države Amerike, Avstralija, Bolgarija, Češka Republika, Danska, Italija, Makao, Avstrija, Nizozemska. </w:t>
      </w:r>
      <w:r w:rsidR="001A1F2C" w:rsidRPr="007A7B03">
        <w:rPr>
          <w:color w:val="7030A0"/>
        </w:rPr>
        <w:t xml:space="preserve">1 država </w:t>
      </w:r>
      <w:r w:rsidR="001A1F2C" w:rsidRPr="007A7B03">
        <w:t>(</w:t>
      </w:r>
      <w:r w:rsidRPr="007A7B03">
        <w:t>Slovaška republika</w:t>
      </w:r>
      <w:r w:rsidR="001A1F2C" w:rsidRPr="007A7B03">
        <w:t>)</w:t>
      </w:r>
      <w:r w:rsidRPr="007A7B03">
        <w:t xml:space="preserve"> je imela </w:t>
      </w:r>
      <w:r w:rsidR="00E31A93" w:rsidRPr="007A7B03">
        <w:t xml:space="preserve">leta </w:t>
      </w:r>
      <w:r w:rsidRPr="007A7B03">
        <w:rPr>
          <w:color w:val="7030A0"/>
        </w:rPr>
        <w:t>2016 nižji dosežek kot Slovenija, sedaj višjega</w:t>
      </w:r>
      <w:r w:rsidRPr="007A7B03">
        <w:t xml:space="preserve">. </w:t>
      </w:r>
      <w:r w:rsidR="00E07EDC" w:rsidRPr="007A7B03">
        <w:rPr>
          <w:color w:val="7030A0"/>
        </w:rPr>
        <w:t>5</w:t>
      </w:r>
      <w:r w:rsidRPr="007A7B03">
        <w:rPr>
          <w:color w:val="7030A0"/>
        </w:rPr>
        <w:t xml:space="preserve"> držav je imelo leta 2016 nižji dosežek kot Slovenija, sedaj enakega</w:t>
      </w:r>
      <w:r w:rsidRPr="007A7B03">
        <w:t xml:space="preserve">: Nova Zelandija, Španija, Portugalska, Malta in Francija. </w:t>
      </w:r>
      <w:r w:rsidR="001A1F2C" w:rsidRPr="007A7B03">
        <w:t xml:space="preserve">Nekaj držav je imelo </w:t>
      </w:r>
      <w:r w:rsidR="00E31A93" w:rsidRPr="007A7B03">
        <w:t xml:space="preserve">leta </w:t>
      </w:r>
      <w:r w:rsidR="001A1F2C" w:rsidRPr="007A7B03">
        <w:t>2016 nižji dosežek in ima tudi leta 20</w:t>
      </w:r>
      <w:r w:rsidR="0013373E">
        <w:t>21</w:t>
      </w:r>
      <w:r w:rsidR="001A1F2C" w:rsidRPr="007A7B03">
        <w:t xml:space="preserve"> nižji dosežek od Slovenije. </w:t>
      </w:r>
    </w:p>
    <w:p w14:paraId="0296569B" w14:textId="21D805B6" w:rsidR="00B97BE9" w:rsidRPr="007A7B03" w:rsidRDefault="00B97BE9" w:rsidP="00A437E8">
      <w:pPr>
        <w:jc w:val="both"/>
        <w:rPr>
          <w:rFonts w:cstheme="minorHAnsi"/>
        </w:rPr>
      </w:pPr>
      <w:r w:rsidRPr="007A7B03">
        <w:rPr>
          <w:rFonts w:cstheme="minorHAnsi"/>
          <w:b/>
        </w:rPr>
        <w:t>Slovenija</w:t>
      </w:r>
      <w:r w:rsidRPr="007A7B03">
        <w:rPr>
          <w:rFonts w:cstheme="minorHAnsi"/>
        </w:rPr>
        <w:t xml:space="preserve"> je pravzaprav </w:t>
      </w:r>
      <w:r w:rsidRPr="007A7B03">
        <w:rPr>
          <w:rFonts w:cstheme="minorHAnsi"/>
          <w:b/>
        </w:rPr>
        <w:t>edina izmed</w:t>
      </w:r>
      <w:r w:rsidR="00E31A93" w:rsidRPr="007A7B03">
        <w:rPr>
          <w:rFonts w:cstheme="minorHAnsi"/>
          <w:b/>
        </w:rPr>
        <w:t xml:space="preserve"> v ciklu 2021</w:t>
      </w:r>
      <w:r w:rsidR="00E31A93" w:rsidRPr="007A7B03">
        <w:rPr>
          <w:rFonts w:cstheme="minorHAnsi"/>
        </w:rPr>
        <w:t xml:space="preserve"> (in vsaj enem predhodnem ciklu)</w:t>
      </w:r>
      <w:r w:rsidR="00E31A93" w:rsidRPr="007A7B03">
        <w:rPr>
          <w:rStyle w:val="FootnoteReference"/>
          <w:rFonts w:cstheme="minorHAnsi"/>
        </w:rPr>
        <w:footnoteReference w:id="2"/>
      </w:r>
      <w:r w:rsidR="00E31A93" w:rsidRPr="007A7B03">
        <w:rPr>
          <w:rFonts w:cstheme="minorHAnsi"/>
        </w:rPr>
        <w:t xml:space="preserve"> </w:t>
      </w:r>
      <w:r w:rsidRPr="007A7B03">
        <w:rPr>
          <w:rFonts w:cstheme="minorHAnsi"/>
          <w:b/>
        </w:rPr>
        <w:t xml:space="preserve">sodelujočih držav </w:t>
      </w:r>
      <w:r w:rsidR="00596686">
        <w:rPr>
          <w:rFonts w:cstheme="minorHAnsi"/>
          <w:b/>
        </w:rPr>
        <w:t>(</w:t>
      </w:r>
      <w:r w:rsidR="00E31A93" w:rsidRPr="007A7B03">
        <w:rPr>
          <w:rFonts w:cstheme="minorHAnsi"/>
          <w:b/>
        </w:rPr>
        <w:t>EU</w:t>
      </w:r>
      <w:r w:rsidR="00596686">
        <w:rPr>
          <w:rFonts w:cstheme="minorHAnsi"/>
          <w:b/>
        </w:rPr>
        <w:t>)</w:t>
      </w:r>
      <w:r w:rsidR="00E31A93" w:rsidRPr="007A7B03">
        <w:rPr>
          <w:rFonts w:cstheme="minorHAnsi"/>
          <w:b/>
        </w:rPr>
        <w:t xml:space="preserve">, </w:t>
      </w:r>
      <w:r w:rsidRPr="007A7B03">
        <w:rPr>
          <w:rFonts w:cstheme="minorHAnsi"/>
          <w:b/>
        </w:rPr>
        <w:t>katere bralni dosežek je bil iz cikla v cikel statistično višji, in sicer vse do leta 2016</w:t>
      </w:r>
      <w:r w:rsidRPr="007A7B03">
        <w:rPr>
          <w:rFonts w:cstheme="minorHAnsi"/>
        </w:rPr>
        <w:t>.</w:t>
      </w:r>
      <w:r w:rsidRPr="007A7B03">
        <w:rPr>
          <w:rStyle w:val="FootnoteReference"/>
          <w:rFonts w:cstheme="minorHAnsi"/>
        </w:rPr>
        <w:footnoteReference w:id="3"/>
      </w:r>
      <w:r w:rsidRPr="007A7B03">
        <w:rPr>
          <w:rFonts w:cstheme="minorHAnsi"/>
        </w:rPr>
        <w:t xml:space="preserve"> Se pravi, da </w:t>
      </w:r>
      <w:r w:rsidRPr="007A7B03">
        <w:rPr>
          <w:rFonts w:cstheme="minorHAnsi"/>
          <w:b/>
        </w:rPr>
        <w:t>se je raven bralne pismenosti četrtošolcev stabilno višala, vse od leta 2001 naprej</w:t>
      </w:r>
      <w:r w:rsidRPr="007A7B03">
        <w:rPr>
          <w:rFonts w:cstheme="minorHAnsi"/>
        </w:rPr>
        <w:t>. Če primerjamo bralni dosežek leta 2021</w:t>
      </w:r>
      <w:r w:rsidR="00E31A93" w:rsidRPr="007A7B03">
        <w:rPr>
          <w:rFonts w:cstheme="minorHAnsi"/>
        </w:rPr>
        <w:t xml:space="preserve"> s prejšnjimi leti,</w:t>
      </w:r>
      <w:r w:rsidRPr="007A7B03">
        <w:rPr>
          <w:rFonts w:cstheme="minorHAnsi"/>
        </w:rPr>
        <w:t xml:space="preserve"> je ta tak, kot je bil bralni dosežek leta 2006.</w:t>
      </w:r>
      <w:r w:rsidR="00E31A93" w:rsidRPr="007A7B03">
        <w:rPr>
          <w:rFonts w:cstheme="minorHAnsi"/>
        </w:rPr>
        <w:t xml:space="preserve"> </w:t>
      </w:r>
    </w:p>
    <w:p w14:paraId="5C8523FE" w14:textId="775FEDF5" w:rsidR="001A1F2C" w:rsidRPr="007A7B03" w:rsidRDefault="00760B42">
      <w:r>
        <w:rPr>
          <w:noProof/>
        </w:rPr>
        <mc:AlternateContent>
          <mc:Choice Requires="wps">
            <w:drawing>
              <wp:anchor distT="45720" distB="45720" distL="114300" distR="114300" simplePos="0" relativeHeight="251662336" behindDoc="0" locked="0" layoutInCell="1" allowOverlap="1" wp14:anchorId="31FA8045" wp14:editId="6A8AD479">
                <wp:simplePos x="0" y="0"/>
                <wp:positionH relativeFrom="margin">
                  <wp:posOffset>2486660</wp:posOffset>
                </wp:positionH>
                <wp:positionV relativeFrom="paragraph">
                  <wp:posOffset>833120</wp:posOffset>
                </wp:positionV>
                <wp:extent cx="1924050" cy="1863090"/>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63090"/>
                        </a:xfrm>
                        <a:prstGeom prst="rect">
                          <a:avLst/>
                        </a:prstGeom>
                        <a:solidFill>
                          <a:srgbClr val="FFFFFF"/>
                        </a:solidFill>
                        <a:ln w="9525">
                          <a:solidFill>
                            <a:srgbClr val="000000"/>
                          </a:solidFill>
                          <a:miter lim="800000"/>
                          <a:headEnd/>
                          <a:tailEnd/>
                        </a:ln>
                      </wps:spPr>
                      <wps:txbx>
                        <w:txbxContent>
                          <w:tbl>
                            <w:tblPr>
                              <w:tblW w:w="2520" w:type="dxa"/>
                              <w:tblLook w:val="04A0" w:firstRow="1" w:lastRow="0" w:firstColumn="1" w:lastColumn="0" w:noHBand="0" w:noVBand="1"/>
                            </w:tblPr>
                            <w:tblGrid>
                              <w:gridCol w:w="1377"/>
                              <w:gridCol w:w="663"/>
                              <w:gridCol w:w="663"/>
                            </w:tblGrid>
                            <w:tr w:rsidR="002A043E" w:rsidRPr="002A043E" w14:paraId="0261ACA4" w14:textId="77777777" w:rsidTr="002A043E">
                              <w:trPr>
                                <w:trHeight w:val="5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4A36"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Mejniki PIRLS</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531EC5D2"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2016 (v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5E97D8B6"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2021 (v %)</w:t>
                                  </w:r>
                                </w:p>
                              </w:tc>
                            </w:tr>
                            <w:tr w:rsidR="002A043E" w:rsidRPr="002A043E" w14:paraId="701F9ADB"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28BFFB"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Najvišji</w:t>
                                  </w:r>
                                </w:p>
                              </w:tc>
                              <w:tc>
                                <w:tcPr>
                                  <w:tcW w:w="620" w:type="dxa"/>
                                  <w:tcBorders>
                                    <w:top w:val="nil"/>
                                    <w:left w:val="nil"/>
                                    <w:bottom w:val="single" w:sz="4" w:space="0" w:color="auto"/>
                                    <w:right w:val="single" w:sz="4" w:space="0" w:color="auto"/>
                                  </w:tcBorders>
                                  <w:shd w:val="clear" w:color="auto" w:fill="auto"/>
                                  <w:noWrap/>
                                  <w:vAlign w:val="bottom"/>
                                  <w:hideMark/>
                                </w:tcPr>
                                <w:p w14:paraId="4E59E710"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022A59"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5</w:t>
                                  </w:r>
                                </w:p>
                              </w:tc>
                            </w:tr>
                            <w:tr w:rsidR="002A043E" w:rsidRPr="002A043E" w14:paraId="49DF73E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84AD70"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Višji</w:t>
                                  </w:r>
                                </w:p>
                              </w:tc>
                              <w:tc>
                                <w:tcPr>
                                  <w:tcW w:w="620" w:type="dxa"/>
                                  <w:tcBorders>
                                    <w:top w:val="nil"/>
                                    <w:left w:val="nil"/>
                                    <w:bottom w:val="single" w:sz="4" w:space="0" w:color="auto"/>
                                    <w:right w:val="single" w:sz="4" w:space="0" w:color="auto"/>
                                  </w:tcBorders>
                                  <w:shd w:val="clear" w:color="auto" w:fill="auto"/>
                                  <w:noWrap/>
                                  <w:vAlign w:val="bottom"/>
                                  <w:hideMark/>
                                </w:tcPr>
                                <w:p w14:paraId="07FE4821"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49</w:t>
                                  </w:r>
                                </w:p>
                              </w:tc>
                              <w:tc>
                                <w:tcPr>
                                  <w:tcW w:w="580" w:type="dxa"/>
                                  <w:tcBorders>
                                    <w:top w:val="nil"/>
                                    <w:left w:val="nil"/>
                                    <w:bottom w:val="single" w:sz="4" w:space="0" w:color="auto"/>
                                    <w:right w:val="single" w:sz="4" w:space="0" w:color="auto"/>
                                  </w:tcBorders>
                                  <w:shd w:val="clear" w:color="auto" w:fill="auto"/>
                                  <w:noWrap/>
                                  <w:vAlign w:val="bottom"/>
                                  <w:hideMark/>
                                </w:tcPr>
                                <w:p w14:paraId="4121D46F"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35</w:t>
                                  </w:r>
                                </w:p>
                              </w:tc>
                            </w:tr>
                            <w:tr w:rsidR="002A043E" w:rsidRPr="002A043E" w14:paraId="2792DE79"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6D3224"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 xml:space="preserve">Srednji </w:t>
                                  </w:r>
                                </w:p>
                              </w:tc>
                              <w:tc>
                                <w:tcPr>
                                  <w:tcW w:w="620" w:type="dxa"/>
                                  <w:tcBorders>
                                    <w:top w:val="nil"/>
                                    <w:left w:val="nil"/>
                                    <w:bottom w:val="single" w:sz="4" w:space="0" w:color="auto"/>
                                    <w:right w:val="single" w:sz="4" w:space="0" w:color="auto"/>
                                  </w:tcBorders>
                                  <w:shd w:val="clear" w:color="auto" w:fill="auto"/>
                                  <w:noWrap/>
                                  <w:vAlign w:val="bottom"/>
                                  <w:hideMark/>
                                </w:tcPr>
                                <w:p w14:paraId="242959C9"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83</w:t>
                                  </w:r>
                                </w:p>
                              </w:tc>
                              <w:tc>
                                <w:tcPr>
                                  <w:tcW w:w="580" w:type="dxa"/>
                                  <w:tcBorders>
                                    <w:top w:val="nil"/>
                                    <w:left w:val="nil"/>
                                    <w:bottom w:val="single" w:sz="4" w:space="0" w:color="auto"/>
                                    <w:right w:val="single" w:sz="4" w:space="0" w:color="auto"/>
                                  </w:tcBorders>
                                  <w:shd w:val="clear" w:color="auto" w:fill="auto"/>
                                  <w:noWrap/>
                                  <w:vAlign w:val="bottom"/>
                                  <w:hideMark/>
                                </w:tcPr>
                                <w:p w14:paraId="61662B2A"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75</w:t>
                                  </w:r>
                                </w:p>
                              </w:tc>
                            </w:tr>
                            <w:tr w:rsidR="002A043E" w:rsidRPr="002A043E" w14:paraId="00D4980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6D973B"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Nižji</w:t>
                                  </w:r>
                                </w:p>
                              </w:tc>
                              <w:tc>
                                <w:tcPr>
                                  <w:tcW w:w="620" w:type="dxa"/>
                                  <w:tcBorders>
                                    <w:top w:val="nil"/>
                                    <w:left w:val="nil"/>
                                    <w:bottom w:val="single" w:sz="4" w:space="0" w:color="auto"/>
                                    <w:right w:val="single" w:sz="4" w:space="0" w:color="auto"/>
                                  </w:tcBorders>
                                  <w:shd w:val="clear" w:color="auto" w:fill="auto"/>
                                  <w:noWrap/>
                                  <w:vAlign w:val="bottom"/>
                                  <w:hideMark/>
                                </w:tcPr>
                                <w:p w14:paraId="2F4F9304"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96</w:t>
                                  </w:r>
                                </w:p>
                              </w:tc>
                              <w:tc>
                                <w:tcPr>
                                  <w:tcW w:w="580" w:type="dxa"/>
                                  <w:tcBorders>
                                    <w:top w:val="nil"/>
                                    <w:left w:val="nil"/>
                                    <w:bottom w:val="single" w:sz="4" w:space="0" w:color="auto"/>
                                    <w:right w:val="single" w:sz="4" w:space="0" w:color="auto"/>
                                  </w:tcBorders>
                                  <w:shd w:val="clear" w:color="auto" w:fill="auto"/>
                                  <w:noWrap/>
                                  <w:vAlign w:val="bottom"/>
                                  <w:hideMark/>
                                </w:tcPr>
                                <w:p w14:paraId="1AC7DF77"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94</w:t>
                                  </w:r>
                                </w:p>
                              </w:tc>
                            </w:tr>
                            <w:tr w:rsidR="002A043E" w:rsidRPr="002A043E" w14:paraId="5BF7B4F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D7DB37"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Nedoseganje</w:t>
                                  </w:r>
                                </w:p>
                              </w:tc>
                              <w:tc>
                                <w:tcPr>
                                  <w:tcW w:w="620" w:type="dxa"/>
                                  <w:tcBorders>
                                    <w:top w:val="nil"/>
                                    <w:left w:val="nil"/>
                                    <w:bottom w:val="single" w:sz="4" w:space="0" w:color="auto"/>
                                    <w:right w:val="single" w:sz="4" w:space="0" w:color="auto"/>
                                  </w:tcBorders>
                                  <w:shd w:val="clear" w:color="auto" w:fill="auto"/>
                                  <w:noWrap/>
                                  <w:vAlign w:val="bottom"/>
                                  <w:hideMark/>
                                </w:tcPr>
                                <w:p w14:paraId="5201B50E"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4</w:t>
                                  </w:r>
                                </w:p>
                              </w:tc>
                              <w:tc>
                                <w:tcPr>
                                  <w:tcW w:w="580" w:type="dxa"/>
                                  <w:tcBorders>
                                    <w:top w:val="nil"/>
                                    <w:left w:val="nil"/>
                                    <w:bottom w:val="single" w:sz="4" w:space="0" w:color="auto"/>
                                    <w:right w:val="single" w:sz="4" w:space="0" w:color="auto"/>
                                  </w:tcBorders>
                                  <w:shd w:val="clear" w:color="auto" w:fill="auto"/>
                                  <w:noWrap/>
                                  <w:vAlign w:val="bottom"/>
                                  <w:hideMark/>
                                </w:tcPr>
                                <w:p w14:paraId="268BCB01"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6</w:t>
                                  </w:r>
                                </w:p>
                              </w:tc>
                            </w:tr>
                          </w:tbl>
                          <w:p w14:paraId="48E53148" w14:textId="77777777" w:rsidR="002A043E" w:rsidRDefault="002A04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A8045" id="_x0000_s1027" type="#_x0000_t202" style="position:absolute;margin-left:195.8pt;margin-top:65.6pt;width:151.5pt;height:146.7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">
                <v:textbox style="mso-fit-shape-to-text:t">
                  <w:txbxContent>
                    <w:tbl>
                      <w:tblPr>
                        <w:tblW w:w="2520" w:type="dxa"/>
                        <w:tblLook w:val="04A0" w:firstRow="1" w:lastRow="0" w:firstColumn="1" w:lastColumn="0" w:noHBand="0" w:noVBand="1"/>
                      </w:tblPr>
                      <w:tblGrid>
                        <w:gridCol w:w="1377"/>
                        <w:gridCol w:w="663"/>
                        <w:gridCol w:w="663"/>
                      </w:tblGrid>
                      <w:tr w:rsidR="002A043E" w:rsidRPr="002A043E" w14:paraId="0261ACA4" w14:textId="77777777" w:rsidTr="002A043E">
                        <w:trPr>
                          <w:trHeight w:val="5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4A36"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Mejniki PIRLS</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531EC5D2"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2016 (v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5E97D8B6" w14:textId="77777777" w:rsidR="002A043E" w:rsidRPr="002A043E" w:rsidRDefault="002A043E" w:rsidP="002A043E">
                            <w:pPr>
                              <w:spacing w:after="0" w:line="240" w:lineRule="auto"/>
                              <w:rPr>
                                <w:rFonts w:ascii="Calibri" w:eastAsia="Times New Roman" w:hAnsi="Calibri" w:cs="Calibri"/>
                                <w:b/>
                                <w:bCs/>
                                <w:color w:val="000000"/>
                                <w:lang w:val="en-US"/>
                              </w:rPr>
                            </w:pPr>
                            <w:r w:rsidRPr="002A043E">
                              <w:rPr>
                                <w:rFonts w:ascii="Calibri" w:eastAsia="Times New Roman" w:hAnsi="Calibri" w:cs="Calibri"/>
                                <w:b/>
                                <w:bCs/>
                                <w:color w:val="000000"/>
                                <w:lang w:val="en-US"/>
                              </w:rPr>
                              <w:t>2021 (v %)</w:t>
                            </w:r>
                          </w:p>
                        </w:tc>
                      </w:tr>
                      <w:tr w:rsidR="002A043E" w:rsidRPr="002A043E" w14:paraId="701F9ADB"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28BFFB"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Najvišji</w:t>
                            </w:r>
                          </w:p>
                        </w:tc>
                        <w:tc>
                          <w:tcPr>
                            <w:tcW w:w="620" w:type="dxa"/>
                            <w:tcBorders>
                              <w:top w:val="nil"/>
                              <w:left w:val="nil"/>
                              <w:bottom w:val="single" w:sz="4" w:space="0" w:color="auto"/>
                              <w:right w:val="single" w:sz="4" w:space="0" w:color="auto"/>
                            </w:tcBorders>
                            <w:shd w:val="clear" w:color="auto" w:fill="auto"/>
                            <w:noWrap/>
                            <w:vAlign w:val="bottom"/>
                            <w:hideMark/>
                          </w:tcPr>
                          <w:p w14:paraId="4E59E710"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022A59"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5</w:t>
                            </w:r>
                          </w:p>
                        </w:tc>
                      </w:tr>
                      <w:tr w:rsidR="002A043E" w:rsidRPr="002A043E" w14:paraId="49DF73E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84AD70"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Višji</w:t>
                            </w:r>
                          </w:p>
                        </w:tc>
                        <w:tc>
                          <w:tcPr>
                            <w:tcW w:w="620" w:type="dxa"/>
                            <w:tcBorders>
                              <w:top w:val="nil"/>
                              <w:left w:val="nil"/>
                              <w:bottom w:val="single" w:sz="4" w:space="0" w:color="auto"/>
                              <w:right w:val="single" w:sz="4" w:space="0" w:color="auto"/>
                            </w:tcBorders>
                            <w:shd w:val="clear" w:color="auto" w:fill="auto"/>
                            <w:noWrap/>
                            <w:vAlign w:val="bottom"/>
                            <w:hideMark/>
                          </w:tcPr>
                          <w:p w14:paraId="07FE4821"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49</w:t>
                            </w:r>
                          </w:p>
                        </w:tc>
                        <w:tc>
                          <w:tcPr>
                            <w:tcW w:w="580" w:type="dxa"/>
                            <w:tcBorders>
                              <w:top w:val="nil"/>
                              <w:left w:val="nil"/>
                              <w:bottom w:val="single" w:sz="4" w:space="0" w:color="auto"/>
                              <w:right w:val="single" w:sz="4" w:space="0" w:color="auto"/>
                            </w:tcBorders>
                            <w:shd w:val="clear" w:color="auto" w:fill="auto"/>
                            <w:noWrap/>
                            <w:vAlign w:val="bottom"/>
                            <w:hideMark/>
                          </w:tcPr>
                          <w:p w14:paraId="4121D46F"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35</w:t>
                            </w:r>
                          </w:p>
                        </w:tc>
                      </w:tr>
                      <w:tr w:rsidR="002A043E" w:rsidRPr="002A043E" w14:paraId="2792DE79"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6D3224"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 xml:space="preserve">Srednji </w:t>
                            </w:r>
                          </w:p>
                        </w:tc>
                        <w:tc>
                          <w:tcPr>
                            <w:tcW w:w="620" w:type="dxa"/>
                            <w:tcBorders>
                              <w:top w:val="nil"/>
                              <w:left w:val="nil"/>
                              <w:bottom w:val="single" w:sz="4" w:space="0" w:color="auto"/>
                              <w:right w:val="single" w:sz="4" w:space="0" w:color="auto"/>
                            </w:tcBorders>
                            <w:shd w:val="clear" w:color="auto" w:fill="auto"/>
                            <w:noWrap/>
                            <w:vAlign w:val="bottom"/>
                            <w:hideMark/>
                          </w:tcPr>
                          <w:p w14:paraId="242959C9"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83</w:t>
                            </w:r>
                          </w:p>
                        </w:tc>
                        <w:tc>
                          <w:tcPr>
                            <w:tcW w:w="580" w:type="dxa"/>
                            <w:tcBorders>
                              <w:top w:val="nil"/>
                              <w:left w:val="nil"/>
                              <w:bottom w:val="single" w:sz="4" w:space="0" w:color="auto"/>
                              <w:right w:val="single" w:sz="4" w:space="0" w:color="auto"/>
                            </w:tcBorders>
                            <w:shd w:val="clear" w:color="auto" w:fill="auto"/>
                            <w:noWrap/>
                            <w:vAlign w:val="bottom"/>
                            <w:hideMark/>
                          </w:tcPr>
                          <w:p w14:paraId="61662B2A"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75</w:t>
                            </w:r>
                          </w:p>
                        </w:tc>
                      </w:tr>
                      <w:tr w:rsidR="002A043E" w:rsidRPr="002A043E" w14:paraId="00D4980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6D973B"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Nižji</w:t>
                            </w:r>
                          </w:p>
                        </w:tc>
                        <w:tc>
                          <w:tcPr>
                            <w:tcW w:w="620" w:type="dxa"/>
                            <w:tcBorders>
                              <w:top w:val="nil"/>
                              <w:left w:val="nil"/>
                              <w:bottom w:val="single" w:sz="4" w:space="0" w:color="auto"/>
                              <w:right w:val="single" w:sz="4" w:space="0" w:color="auto"/>
                            </w:tcBorders>
                            <w:shd w:val="clear" w:color="auto" w:fill="auto"/>
                            <w:noWrap/>
                            <w:vAlign w:val="bottom"/>
                            <w:hideMark/>
                          </w:tcPr>
                          <w:p w14:paraId="2F4F9304"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96</w:t>
                            </w:r>
                          </w:p>
                        </w:tc>
                        <w:tc>
                          <w:tcPr>
                            <w:tcW w:w="580" w:type="dxa"/>
                            <w:tcBorders>
                              <w:top w:val="nil"/>
                              <w:left w:val="nil"/>
                              <w:bottom w:val="single" w:sz="4" w:space="0" w:color="auto"/>
                              <w:right w:val="single" w:sz="4" w:space="0" w:color="auto"/>
                            </w:tcBorders>
                            <w:shd w:val="clear" w:color="auto" w:fill="auto"/>
                            <w:noWrap/>
                            <w:vAlign w:val="bottom"/>
                            <w:hideMark/>
                          </w:tcPr>
                          <w:p w14:paraId="1AC7DF77"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94</w:t>
                            </w:r>
                          </w:p>
                        </w:tc>
                      </w:tr>
                      <w:tr w:rsidR="002A043E" w:rsidRPr="002A043E" w14:paraId="5BF7B4F0" w14:textId="77777777" w:rsidTr="002A043E">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D7DB37" w14:textId="77777777" w:rsidR="002A043E" w:rsidRPr="002A043E" w:rsidRDefault="002A043E" w:rsidP="002A043E">
                            <w:pPr>
                              <w:spacing w:after="0" w:line="240" w:lineRule="auto"/>
                              <w:rPr>
                                <w:rFonts w:ascii="Calibri" w:eastAsia="Times New Roman" w:hAnsi="Calibri" w:cs="Calibri"/>
                                <w:i/>
                                <w:iCs/>
                                <w:color w:val="000000"/>
                                <w:lang w:val="en-US"/>
                              </w:rPr>
                            </w:pPr>
                            <w:r w:rsidRPr="002A043E">
                              <w:rPr>
                                <w:rFonts w:ascii="Calibri" w:eastAsia="Times New Roman" w:hAnsi="Calibri" w:cs="Calibri"/>
                                <w:i/>
                                <w:iCs/>
                                <w:color w:val="000000"/>
                                <w:lang w:val="en-US"/>
                              </w:rPr>
                              <w:t>Nedoseganje</w:t>
                            </w:r>
                          </w:p>
                        </w:tc>
                        <w:tc>
                          <w:tcPr>
                            <w:tcW w:w="620" w:type="dxa"/>
                            <w:tcBorders>
                              <w:top w:val="nil"/>
                              <w:left w:val="nil"/>
                              <w:bottom w:val="single" w:sz="4" w:space="0" w:color="auto"/>
                              <w:right w:val="single" w:sz="4" w:space="0" w:color="auto"/>
                            </w:tcBorders>
                            <w:shd w:val="clear" w:color="auto" w:fill="auto"/>
                            <w:noWrap/>
                            <w:vAlign w:val="bottom"/>
                            <w:hideMark/>
                          </w:tcPr>
                          <w:p w14:paraId="5201B50E"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4</w:t>
                            </w:r>
                          </w:p>
                        </w:tc>
                        <w:tc>
                          <w:tcPr>
                            <w:tcW w:w="580" w:type="dxa"/>
                            <w:tcBorders>
                              <w:top w:val="nil"/>
                              <w:left w:val="nil"/>
                              <w:bottom w:val="single" w:sz="4" w:space="0" w:color="auto"/>
                              <w:right w:val="single" w:sz="4" w:space="0" w:color="auto"/>
                            </w:tcBorders>
                            <w:shd w:val="clear" w:color="auto" w:fill="auto"/>
                            <w:noWrap/>
                            <w:vAlign w:val="bottom"/>
                            <w:hideMark/>
                          </w:tcPr>
                          <w:p w14:paraId="268BCB01" w14:textId="77777777" w:rsidR="002A043E" w:rsidRPr="002A043E" w:rsidRDefault="002A043E" w:rsidP="002A043E">
                            <w:pPr>
                              <w:spacing w:after="0" w:line="240" w:lineRule="auto"/>
                              <w:jc w:val="right"/>
                              <w:rPr>
                                <w:rFonts w:ascii="Calibri" w:eastAsia="Times New Roman" w:hAnsi="Calibri" w:cs="Calibri"/>
                                <w:color w:val="000000"/>
                                <w:lang w:val="en-US"/>
                              </w:rPr>
                            </w:pPr>
                            <w:r w:rsidRPr="002A043E">
                              <w:rPr>
                                <w:rFonts w:ascii="Calibri" w:eastAsia="Times New Roman" w:hAnsi="Calibri" w:cs="Calibri"/>
                                <w:color w:val="000000"/>
                                <w:lang w:val="en-US"/>
                              </w:rPr>
                              <w:t>6</w:t>
                            </w:r>
                          </w:p>
                        </w:tc>
                      </w:tr>
                    </w:tbl>
                    <w:p w14:paraId="48E53148" w14:textId="77777777" w:rsidR="002A043E" w:rsidRDefault="002A043E"/>
                  </w:txbxContent>
                </v:textbox>
                <w10:wrap type="square" anchorx="margin"/>
              </v:shape>
            </w:pict>
          </mc:Fallback>
        </mc:AlternateContent>
      </w:r>
      <w:r w:rsidR="000C4B61" w:rsidRPr="007A7B03">
        <w:rPr>
          <w:noProof/>
          <w:lang w:eastAsia="sl-SI"/>
        </w:rPr>
        <w:drawing>
          <wp:inline distT="0" distB="0" distL="0" distR="0" wp14:anchorId="7217AFA1" wp14:editId="721F92D8">
            <wp:extent cx="225909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909"/>
                    <a:stretch/>
                  </pic:blipFill>
                  <pic:spPr bwMode="auto">
                    <a:xfrm>
                      <a:off x="0" y="0"/>
                      <a:ext cx="2281978" cy="3117367"/>
                    </a:xfrm>
                    <a:prstGeom prst="rect">
                      <a:avLst/>
                    </a:prstGeom>
                    <a:noFill/>
                    <a:ln>
                      <a:noFill/>
                    </a:ln>
                    <a:extLst>
                      <a:ext uri="{53640926-AAD7-44D8-BBD7-CCE9431645EC}">
                        <a14:shadowObscured xmlns:a14="http://schemas.microsoft.com/office/drawing/2010/main"/>
                      </a:ext>
                    </a:extLst>
                  </pic:spPr>
                </pic:pic>
              </a:graphicData>
            </a:graphic>
          </wp:inline>
        </w:drawing>
      </w:r>
      <w:r w:rsidR="00156857" w:rsidRPr="007A7B03">
        <w:t xml:space="preserve"> </w:t>
      </w:r>
    </w:p>
    <w:p w14:paraId="7AC29D24" w14:textId="36C2CD6C" w:rsidR="001A1F2C" w:rsidRPr="007A7B03" w:rsidRDefault="000C4B61">
      <w:r w:rsidRPr="007A7B03">
        <w:t>Slika 3: Trendi v Sloveniji glede doseganja mednarodnih mejnikov PIRLS.</w:t>
      </w:r>
    </w:p>
    <w:p w14:paraId="17136511" w14:textId="77777777" w:rsidR="000C4B61" w:rsidRPr="007A7B03" w:rsidRDefault="000C4B61" w:rsidP="00A437E8">
      <w:pPr>
        <w:jc w:val="both"/>
        <w:rPr>
          <w:b/>
        </w:rPr>
      </w:pPr>
      <w:r w:rsidRPr="007A7B03">
        <w:t>Iz slike 3 vidimo, da se je nekoliko povečal delež učencev, ki ne dosegajo nobenega mejnika</w:t>
      </w:r>
      <w:r w:rsidR="00745A15" w:rsidRPr="007A7B03">
        <w:t>,</w:t>
      </w:r>
      <w:r w:rsidRPr="007A7B03">
        <w:t xml:space="preserve"> na drugi strani </w:t>
      </w:r>
      <w:r w:rsidR="002A043E" w:rsidRPr="007A7B03">
        <w:t xml:space="preserve">so se pa </w:t>
      </w:r>
      <w:r w:rsidR="002A043E" w:rsidRPr="007A7B03">
        <w:rPr>
          <w:b/>
        </w:rPr>
        <w:t>zmanjšali deleži učencev,</w:t>
      </w:r>
      <w:r w:rsidRPr="007A7B03">
        <w:rPr>
          <w:b/>
        </w:rPr>
        <w:t xml:space="preserve"> ki dosegajo</w:t>
      </w:r>
      <w:r w:rsidR="002A043E" w:rsidRPr="007A7B03">
        <w:rPr>
          <w:b/>
        </w:rPr>
        <w:t xml:space="preserve"> </w:t>
      </w:r>
      <w:r w:rsidR="00DC5635" w:rsidRPr="007A7B03">
        <w:rPr>
          <w:b/>
        </w:rPr>
        <w:t>posamezne mejnike</w:t>
      </w:r>
      <w:r w:rsidRPr="007A7B03">
        <w:rPr>
          <w:b/>
        </w:rPr>
        <w:t xml:space="preserve">. </w:t>
      </w:r>
    </w:p>
    <w:p w14:paraId="5E1901BC" w14:textId="33FD0BEE" w:rsidR="00687205" w:rsidRPr="007A7B03" w:rsidRDefault="008B44B3" w:rsidP="00A437E8">
      <w:pPr>
        <w:jc w:val="both"/>
        <w:rPr>
          <w:rFonts w:cstheme="minorHAnsi"/>
        </w:rPr>
      </w:pPr>
      <w:r w:rsidRPr="007A7B03">
        <w:t xml:space="preserve">Deklice so v </w:t>
      </w:r>
      <w:r w:rsidR="00E31A93" w:rsidRPr="007A7B03">
        <w:t xml:space="preserve">ciklu </w:t>
      </w:r>
      <w:r w:rsidRPr="007A7B03">
        <w:t xml:space="preserve">2021 dosegle višje bralne dosežke v 51 državah od 57 sodelujočih, v šestih državah pa ni bilo značilnih razlik. </w:t>
      </w:r>
      <w:r w:rsidR="002211DB" w:rsidRPr="007A7B03">
        <w:t xml:space="preserve">Razlike so bile tudi v Sloveniji. </w:t>
      </w:r>
      <w:r w:rsidR="00E31A93" w:rsidRPr="007A7B03">
        <w:t xml:space="preserve">Od </w:t>
      </w:r>
      <w:r w:rsidR="002211DB" w:rsidRPr="007A7B03">
        <w:t xml:space="preserve">držav </w:t>
      </w:r>
      <w:r w:rsidR="00E31A93" w:rsidRPr="007A7B03">
        <w:t xml:space="preserve">EU </w:t>
      </w:r>
      <w:r w:rsidR="002211DB" w:rsidRPr="007A7B03">
        <w:t xml:space="preserve">razlike med spoloma pri bralnem dosežku ni pri učencih iz Španije, Češke republike, </w:t>
      </w:r>
      <w:r w:rsidR="00E31A93" w:rsidRPr="007A7B03">
        <w:t xml:space="preserve">z </w:t>
      </w:r>
      <w:r w:rsidR="002211DB" w:rsidRPr="007A7B03">
        <w:t>Malte, razlike v prid deklicam pa so v naslednjih državah: Portugalsk</w:t>
      </w:r>
      <w:r w:rsidR="00E31A93" w:rsidRPr="007A7B03">
        <w:t>i</w:t>
      </w:r>
      <w:r w:rsidR="002211DB" w:rsidRPr="007A7B03">
        <w:t xml:space="preserve"> (6 točk), Italij</w:t>
      </w:r>
      <w:r w:rsidR="00E31A93" w:rsidRPr="007A7B03">
        <w:t>i</w:t>
      </w:r>
      <w:r w:rsidR="002211DB" w:rsidRPr="007A7B03">
        <w:t xml:space="preserve"> (7 točk), Belgij</w:t>
      </w:r>
      <w:r w:rsidR="00E31A93" w:rsidRPr="007A7B03">
        <w:t>i</w:t>
      </w:r>
      <w:r w:rsidR="002211DB" w:rsidRPr="007A7B03">
        <w:t xml:space="preserve"> (flamski del, 8 točk), Slovašk</w:t>
      </w:r>
      <w:r w:rsidR="00E31A93" w:rsidRPr="007A7B03">
        <w:t>i</w:t>
      </w:r>
      <w:r w:rsidR="002211DB" w:rsidRPr="007A7B03">
        <w:t xml:space="preserve"> republik</w:t>
      </w:r>
      <w:r w:rsidR="00E31A93" w:rsidRPr="007A7B03">
        <w:t>i</w:t>
      </w:r>
      <w:r w:rsidR="002211DB" w:rsidRPr="007A7B03">
        <w:t xml:space="preserve"> (8 točk), Cip</w:t>
      </w:r>
      <w:r w:rsidR="00E31A93" w:rsidRPr="007A7B03">
        <w:t>ru</w:t>
      </w:r>
      <w:r w:rsidR="002211DB" w:rsidRPr="007A7B03">
        <w:t xml:space="preserve"> (9 točk), </w:t>
      </w:r>
      <w:r w:rsidR="002211DB" w:rsidRPr="007A7B03">
        <w:lastRenderedPageBreak/>
        <w:t>Belgij</w:t>
      </w:r>
      <w:r w:rsidR="00E31A93" w:rsidRPr="007A7B03">
        <w:t>i</w:t>
      </w:r>
      <w:r w:rsidR="002211DB" w:rsidRPr="007A7B03">
        <w:t xml:space="preserve"> (francoski del, 10 točk), </w:t>
      </w:r>
      <w:r w:rsidR="00421767" w:rsidRPr="007A7B03">
        <w:t>Hrvašk</w:t>
      </w:r>
      <w:r w:rsidR="00E31A93" w:rsidRPr="007A7B03">
        <w:t>i</w:t>
      </w:r>
      <w:r w:rsidR="00421767" w:rsidRPr="007A7B03">
        <w:t xml:space="preserve"> (10 točk), Irsk</w:t>
      </w:r>
      <w:r w:rsidR="00E31A93" w:rsidRPr="007A7B03">
        <w:t>i</w:t>
      </w:r>
      <w:r w:rsidR="00421767" w:rsidRPr="007A7B03">
        <w:t xml:space="preserve"> (11</w:t>
      </w:r>
      <w:r w:rsidR="007A7B03">
        <w:t xml:space="preserve"> </w:t>
      </w:r>
      <w:r w:rsidR="00421767" w:rsidRPr="007A7B03">
        <w:t xml:space="preserve">točk), </w:t>
      </w:r>
      <w:r w:rsidR="002211DB" w:rsidRPr="007A7B03">
        <w:t>Dansk</w:t>
      </w:r>
      <w:r w:rsidR="00E31A93" w:rsidRPr="007A7B03">
        <w:t>i</w:t>
      </w:r>
      <w:r w:rsidR="002211DB" w:rsidRPr="007A7B03">
        <w:t xml:space="preserve"> (12 točk), Nizozemsk</w:t>
      </w:r>
      <w:r w:rsidR="00E31A93" w:rsidRPr="007A7B03">
        <w:t>i</w:t>
      </w:r>
      <w:r w:rsidR="002211DB" w:rsidRPr="007A7B03">
        <w:t xml:space="preserve"> (13 točk), </w:t>
      </w:r>
      <w:r w:rsidR="00421767" w:rsidRPr="007A7B03">
        <w:t>Francij</w:t>
      </w:r>
      <w:r w:rsidR="00E31A93" w:rsidRPr="007A7B03">
        <w:t>i</w:t>
      </w:r>
      <w:r w:rsidR="00421767" w:rsidRPr="007A7B03">
        <w:t xml:space="preserve"> (14 točk), Avstrij</w:t>
      </w:r>
      <w:r w:rsidR="00E31A93" w:rsidRPr="007A7B03">
        <w:t>i</w:t>
      </w:r>
      <w:r w:rsidR="00421767" w:rsidRPr="007A7B03">
        <w:t xml:space="preserve"> (14 točk), Madžarsk</w:t>
      </w:r>
      <w:r w:rsidR="00E31A93" w:rsidRPr="007A7B03">
        <w:t>i</w:t>
      </w:r>
      <w:r w:rsidR="00421767" w:rsidRPr="007A7B03">
        <w:t xml:space="preserve"> (15 točk), Švedsk</w:t>
      </w:r>
      <w:r w:rsidR="00E31A93" w:rsidRPr="007A7B03">
        <w:t>i</w:t>
      </w:r>
      <w:r w:rsidR="00421767" w:rsidRPr="007A7B03">
        <w:t xml:space="preserve"> (15 točk), Bolgarij</w:t>
      </w:r>
      <w:r w:rsidR="00E31A93" w:rsidRPr="007A7B03">
        <w:t>i</w:t>
      </w:r>
      <w:r w:rsidR="00421767" w:rsidRPr="007A7B03">
        <w:t xml:space="preserve"> (15 točk), Nemčij</w:t>
      </w:r>
      <w:r w:rsidR="00E31A93" w:rsidRPr="007A7B03">
        <w:t>i</w:t>
      </w:r>
      <w:r w:rsidR="00421767" w:rsidRPr="007A7B03">
        <w:t xml:space="preserve"> (15 točk), Finsk</w:t>
      </w:r>
      <w:r w:rsidR="00E31A93" w:rsidRPr="007A7B03">
        <w:t>i</w:t>
      </w:r>
      <w:r w:rsidR="00421767" w:rsidRPr="007A7B03">
        <w:t xml:space="preserve"> (18 točk), </w:t>
      </w:r>
      <w:r w:rsidR="00421767" w:rsidRPr="007A7B03">
        <w:rPr>
          <w:b/>
        </w:rPr>
        <w:t>Slovenij</w:t>
      </w:r>
      <w:r w:rsidR="00E31A93" w:rsidRPr="007A7B03">
        <w:rPr>
          <w:b/>
        </w:rPr>
        <w:t>i</w:t>
      </w:r>
      <w:r w:rsidR="00421767" w:rsidRPr="007A7B03">
        <w:rPr>
          <w:b/>
        </w:rPr>
        <w:t xml:space="preserve"> (18 točk)</w:t>
      </w:r>
      <w:r w:rsidR="00421767" w:rsidRPr="007A7B03">
        <w:t>, Poljsk</w:t>
      </w:r>
      <w:r w:rsidR="00E31A93" w:rsidRPr="007A7B03">
        <w:t>i</w:t>
      </w:r>
      <w:r w:rsidR="00421767" w:rsidRPr="007A7B03">
        <w:t xml:space="preserve"> (20 točk), Litv</w:t>
      </w:r>
      <w:r w:rsidR="00E31A93" w:rsidRPr="007A7B03">
        <w:t>i</w:t>
      </w:r>
      <w:r w:rsidR="00421767" w:rsidRPr="007A7B03">
        <w:t xml:space="preserve"> (21 točk), Latvij</w:t>
      </w:r>
      <w:r w:rsidR="00E31A93" w:rsidRPr="007A7B03">
        <w:t>i</w:t>
      </w:r>
      <w:r w:rsidR="00421767" w:rsidRPr="007A7B03">
        <w:t xml:space="preserve"> (27 točk). </w:t>
      </w:r>
      <w:r w:rsidR="00687205" w:rsidRPr="007A7B03">
        <w:t xml:space="preserve">Na sliki 4 </w:t>
      </w:r>
      <w:r w:rsidR="00687205" w:rsidRPr="007A7B03">
        <w:rPr>
          <w:rFonts w:cstheme="minorHAnsi"/>
        </w:rPr>
        <w:t xml:space="preserve">vidimo trende v </w:t>
      </w:r>
      <w:r w:rsidR="00687205" w:rsidRPr="007A7B03">
        <w:rPr>
          <w:rFonts w:cstheme="minorHAnsi"/>
          <w:b/>
        </w:rPr>
        <w:t>bralnih dosežkih po spolu v Sloveniji</w:t>
      </w:r>
      <w:r w:rsidR="00687205" w:rsidRPr="007A7B03">
        <w:rPr>
          <w:rFonts w:cstheme="minorHAnsi"/>
        </w:rPr>
        <w:t>. Kot vidimo</w:t>
      </w:r>
      <w:r w:rsidR="00E31A93" w:rsidRPr="007A7B03">
        <w:rPr>
          <w:rFonts w:cstheme="minorHAnsi"/>
        </w:rPr>
        <w:t>,</w:t>
      </w:r>
      <w:r w:rsidR="00687205" w:rsidRPr="007A7B03">
        <w:rPr>
          <w:rFonts w:cstheme="minorHAnsi"/>
        </w:rPr>
        <w:t xml:space="preserve"> so </w:t>
      </w:r>
      <w:r w:rsidR="00687205" w:rsidRPr="007A7B03">
        <w:rPr>
          <w:rFonts w:cstheme="minorHAnsi"/>
          <w:b/>
        </w:rPr>
        <w:t>deklice boljše bralke v vseh ciklih raziskave PIRLS</w:t>
      </w:r>
      <w:r w:rsidR="00687205" w:rsidRPr="007A7B03">
        <w:rPr>
          <w:rFonts w:cstheme="minorHAnsi"/>
        </w:rPr>
        <w:t xml:space="preserve">. </w:t>
      </w:r>
    </w:p>
    <w:p w14:paraId="00646ADC" w14:textId="745539E4" w:rsidR="00687205" w:rsidRPr="007A7B03" w:rsidRDefault="009061DB" w:rsidP="008B44B3">
      <w:pPr>
        <w:rPr>
          <w:rFonts w:cstheme="minorHAnsi"/>
        </w:rPr>
      </w:pPr>
      <w:r>
        <w:rPr>
          <w:rFonts w:cstheme="minorHAnsi"/>
          <w:noProof/>
        </w:rPr>
        <mc:AlternateContent>
          <mc:Choice Requires="wps">
            <w:drawing>
              <wp:anchor distT="45720" distB="45720" distL="114300" distR="114300" simplePos="0" relativeHeight="251664384" behindDoc="0" locked="0" layoutInCell="1" allowOverlap="1" wp14:anchorId="1A74B2F7" wp14:editId="53F18A58">
                <wp:simplePos x="0" y="0"/>
                <wp:positionH relativeFrom="column">
                  <wp:posOffset>2921000</wp:posOffset>
                </wp:positionH>
                <wp:positionV relativeFrom="paragraph">
                  <wp:posOffset>324485</wp:posOffset>
                </wp:positionV>
                <wp:extent cx="2386330" cy="12636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263650"/>
                        </a:xfrm>
                        <a:prstGeom prst="rect">
                          <a:avLst/>
                        </a:prstGeom>
                        <a:solidFill>
                          <a:srgbClr val="FFFFFF"/>
                        </a:solidFill>
                        <a:ln w="9525">
                          <a:solidFill>
                            <a:srgbClr val="000000"/>
                          </a:solidFill>
                          <a:miter lim="800000"/>
                          <a:headEnd/>
                          <a:tailEnd/>
                        </a:ln>
                      </wps:spPr>
                      <wps:txbx>
                        <w:txbxContent>
                          <w:p w14:paraId="7369ABD5" w14:textId="0BFC4D40" w:rsidR="00B97BE9" w:rsidRDefault="00B97BE9" w:rsidP="00B97BE9">
                            <w:r w:rsidRPr="00B97BE9">
                              <w:rPr>
                                <w:rFonts w:cstheme="minorHAnsi"/>
                                <w:b/>
                              </w:rPr>
                              <w:t xml:space="preserve">Razkorak med dosežki </w:t>
                            </w:r>
                            <w:r>
                              <w:rPr>
                                <w:rFonts w:cstheme="minorHAnsi"/>
                                <w:b/>
                              </w:rPr>
                              <w:t xml:space="preserve">po spolu </w:t>
                            </w:r>
                            <w:r w:rsidRPr="00B97BE9">
                              <w:rPr>
                                <w:rFonts w:cstheme="minorHAnsi"/>
                                <w:b/>
                              </w:rPr>
                              <w:t>je približno enak</w:t>
                            </w:r>
                            <w:r w:rsidR="00E31A93">
                              <w:rPr>
                                <w:rFonts w:cstheme="minorHAnsi"/>
                              </w:rPr>
                              <w:t xml:space="preserve"> –</w:t>
                            </w:r>
                            <w:r w:rsidRPr="00256531">
                              <w:rPr>
                                <w:rFonts w:cstheme="minorHAnsi"/>
                              </w:rPr>
                              <w:t xml:space="preserve"> ko se izboljša bralni dosež</w:t>
                            </w:r>
                            <w:r w:rsidR="00E31A93">
                              <w:rPr>
                                <w:rFonts w:cstheme="minorHAnsi"/>
                              </w:rPr>
                              <w:t>e</w:t>
                            </w:r>
                            <w:r w:rsidRPr="00256531">
                              <w:rPr>
                                <w:rFonts w:cstheme="minorHAnsi"/>
                              </w:rPr>
                              <w:t>k pri deklicah, se tudi pri dečkih</w:t>
                            </w:r>
                            <w:r w:rsidR="00E31A93">
                              <w:rPr>
                                <w:rFonts w:cstheme="minorHAnsi"/>
                              </w:rPr>
                              <w:t xml:space="preserve">; sedaj, </w:t>
                            </w:r>
                            <w:r w:rsidRPr="00256531">
                              <w:rPr>
                                <w:rFonts w:cstheme="minorHAnsi"/>
                              </w:rPr>
                              <w:t>ko so v ciklu 2021 dosežki prvič padli, so padli tako pri dečkih kot pri deklicah</w:t>
                            </w:r>
                            <w:r>
                              <w:rPr>
                                <w:rFonts w:cstheme="minorHAnsi"/>
                              </w:rPr>
                              <w:t>.</w:t>
                            </w:r>
                          </w:p>
                          <w:p w14:paraId="37F21299" w14:textId="77777777" w:rsidR="00B97BE9" w:rsidRDefault="00B97BE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74B2F7" id="_x0000_s1028" type="#_x0000_t202" style="position:absolute;margin-left:230pt;margin-top:25.55pt;width:187.9pt;height:99.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">
                <v:textbox>
                  <w:txbxContent>
                    <w:p w14:paraId="7369ABD5" w14:textId="0BFC4D40" w:rsidR="00B97BE9" w:rsidRDefault="00B97BE9" w:rsidP="00B97BE9">
                      <w:r w:rsidRPr="00B97BE9">
                        <w:rPr>
                          <w:rFonts w:cstheme="minorHAnsi"/>
                          <w:b/>
                        </w:rPr>
                        <w:t xml:space="preserve">Razkorak med dosežki </w:t>
                      </w:r>
                      <w:r>
                        <w:rPr>
                          <w:rFonts w:cstheme="minorHAnsi"/>
                          <w:b/>
                        </w:rPr>
                        <w:t xml:space="preserve">po spolu </w:t>
                      </w:r>
                      <w:r w:rsidRPr="00B97BE9">
                        <w:rPr>
                          <w:rFonts w:cstheme="minorHAnsi"/>
                          <w:b/>
                        </w:rPr>
                        <w:t>je približno enak</w:t>
                      </w:r>
                      <w:r w:rsidR="00E31A93">
                        <w:rPr>
                          <w:rFonts w:cstheme="minorHAnsi"/>
                        </w:rPr>
                        <w:t xml:space="preserve"> –</w:t>
                      </w:r>
                      <w:r w:rsidRPr="00256531">
                        <w:rPr>
                          <w:rFonts w:cstheme="minorHAnsi"/>
                        </w:rPr>
                        <w:t xml:space="preserve"> ko se izboljša bralni dosež</w:t>
                      </w:r>
                      <w:r w:rsidR="00E31A93">
                        <w:rPr>
                          <w:rFonts w:cstheme="minorHAnsi"/>
                        </w:rPr>
                        <w:t>e</w:t>
                      </w:r>
                      <w:r w:rsidRPr="00256531">
                        <w:rPr>
                          <w:rFonts w:cstheme="minorHAnsi"/>
                        </w:rPr>
                        <w:t>k pri deklicah, se tudi pri dečkih</w:t>
                      </w:r>
                      <w:r w:rsidR="00E31A93">
                        <w:rPr>
                          <w:rFonts w:cstheme="minorHAnsi"/>
                        </w:rPr>
                        <w:t xml:space="preserve">; sedaj, </w:t>
                      </w:r>
                      <w:r w:rsidRPr="00256531">
                        <w:rPr>
                          <w:rFonts w:cstheme="minorHAnsi"/>
                        </w:rPr>
                        <w:t>ko so v ciklu 2021 dosežki prvič padli, so padli tako pri dečkih kot pri deklicah</w:t>
                      </w:r>
                      <w:r>
                        <w:rPr>
                          <w:rFonts w:cstheme="minorHAnsi"/>
                        </w:rPr>
                        <w:t>.</w:t>
                      </w:r>
                    </w:p>
                    <w:p w14:paraId="37F21299" w14:textId="77777777" w:rsidR="00B97BE9" w:rsidRDefault="00B97BE9"/>
                  </w:txbxContent>
                </v:textbox>
                <w10:wrap type="square"/>
              </v:shape>
            </w:pict>
          </mc:Fallback>
        </mc:AlternateContent>
      </w:r>
      <w:r w:rsidR="00B97BE9" w:rsidRPr="007A7B03">
        <w:rPr>
          <w:rFonts w:cstheme="minorHAnsi"/>
          <w:noProof/>
          <w:lang w:eastAsia="sl-SI"/>
        </w:rPr>
        <w:drawing>
          <wp:inline distT="0" distB="0" distL="0" distR="0" wp14:anchorId="0A027C8F" wp14:editId="5FF5F4B5">
            <wp:extent cx="2241844" cy="2457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2205" cy="2501693"/>
                    </a:xfrm>
                    <a:prstGeom prst="rect">
                      <a:avLst/>
                    </a:prstGeom>
                    <a:noFill/>
                  </pic:spPr>
                </pic:pic>
              </a:graphicData>
            </a:graphic>
          </wp:inline>
        </w:drawing>
      </w:r>
    </w:p>
    <w:p w14:paraId="27641A11" w14:textId="77777777" w:rsidR="000C4B61" w:rsidRPr="007A7B03" w:rsidRDefault="00B97BE9">
      <w:pPr>
        <w:rPr>
          <w:rFonts w:cstheme="minorHAnsi"/>
        </w:rPr>
      </w:pPr>
      <w:r w:rsidRPr="007A7B03">
        <w:rPr>
          <w:rFonts w:cstheme="minorHAnsi"/>
          <w:noProof/>
          <w:lang w:eastAsia="sl-SI"/>
        </w:rPr>
        <w:drawing>
          <wp:inline distT="0" distB="0" distL="0" distR="0" wp14:anchorId="3D66FA94" wp14:editId="688CACDB">
            <wp:extent cx="2501900" cy="25754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1185" cy="277026"/>
                    </a:xfrm>
                    <a:prstGeom prst="rect">
                      <a:avLst/>
                    </a:prstGeom>
                    <a:noFill/>
                  </pic:spPr>
                </pic:pic>
              </a:graphicData>
            </a:graphic>
          </wp:inline>
        </w:drawing>
      </w:r>
    </w:p>
    <w:p w14:paraId="4648D518" w14:textId="1FA11810" w:rsidR="008A725A" w:rsidRPr="007A7B03" w:rsidRDefault="008A725A">
      <w:r w:rsidRPr="007A7B03">
        <w:t xml:space="preserve">Slika 4: Trendi razlik </w:t>
      </w:r>
      <w:r w:rsidR="00E31A93" w:rsidRPr="007A7B03">
        <w:t xml:space="preserve">v </w:t>
      </w:r>
      <w:r w:rsidRPr="007A7B03">
        <w:t>bralni</w:t>
      </w:r>
      <w:r w:rsidR="00E31A93" w:rsidRPr="007A7B03">
        <w:t>h</w:t>
      </w:r>
      <w:r w:rsidRPr="007A7B03">
        <w:t xml:space="preserve"> dosežk</w:t>
      </w:r>
      <w:r w:rsidR="00E31A93" w:rsidRPr="007A7B03">
        <w:t>ih</w:t>
      </w:r>
      <w:r w:rsidRPr="007A7B03">
        <w:t xml:space="preserve"> med spoloma v Sloveniji.</w:t>
      </w:r>
    </w:p>
    <w:p w14:paraId="7323D68D" w14:textId="77777777" w:rsidR="00E4447F" w:rsidRPr="007A7B03" w:rsidRDefault="00523CFD">
      <w:pPr>
        <w:rPr>
          <w:b/>
        </w:rPr>
      </w:pPr>
      <w:r w:rsidRPr="007A7B03">
        <w:rPr>
          <w:b/>
        </w:rPr>
        <w:t>Branje in domače okolje</w:t>
      </w:r>
    </w:p>
    <w:p w14:paraId="40EAE173" w14:textId="71FA25A8" w:rsidR="00745A15" w:rsidRPr="007A7B03" w:rsidRDefault="00E4447F" w:rsidP="00A437E8">
      <w:pPr>
        <w:jc w:val="both"/>
        <w:rPr>
          <w:b/>
        </w:rPr>
      </w:pPr>
      <w:r w:rsidRPr="007A7B03">
        <w:t>Prejšnji zajemi podatkov PIRLS in tudi drugih raziskav kažejo na povezavo med socialno-ekonomskim statusom (SES) družin</w:t>
      </w:r>
      <w:r w:rsidR="00E31A93" w:rsidRPr="007A7B03">
        <w:t>,</w:t>
      </w:r>
      <w:r w:rsidRPr="007A7B03">
        <w:t xml:space="preserve"> iz katerih prihajajo učenci</w:t>
      </w:r>
      <w:r w:rsidR="00E31A93" w:rsidRPr="007A7B03">
        <w:t>,</w:t>
      </w:r>
      <w:r w:rsidRPr="007A7B03">
        <w:t xml:space="preserve"> in njihovimi bralnimi </w:t>
      </w:r>
      <w:r w:rsidR="00170990" w:rsidRPr="007A7B03">
        <w:t>(</w:t>
      </w:r>
      <w:r w:rsidRPr="007A7B03">
        <w:t xml:space="preserve">in drugimi) dosežki. </w:t>
      </w:r>
      <w:r w:rsidRPr="007A7B03">
        <w:rPr>
          <w:b/>
        </w:rPr>
        <w:t>Učenci z višjim SES</w:t>
      </w:r>
      <w:r w:rsidRPr="007A7B03">
        <w:t xml:space="preserve"> imajo v mednarodnem povprečju </w:t>
      </w:r>
      <w:r w:rsidRPr="007A7B03">
        <w:rPr>
          <w:b/>
        </w:rPr>
        <w:t>pomembnej</w:t>
      </w:r>
      <w:r w:rsidR="00E31A93" w:rsidRPr="007A7B03">
        <w:rPr>
          <w:b/>
        </w:rPr>
        <w:t>e</w:t>
      </w:r>
      <w:r w:rsidRPr="007A7B03">
        <w:rPr>
          <w:b/>
        </w:rPr>
        <w:t xml:space="preserve"> boljši bralni dosežek</w:t>
      </w:r>
      <w:r w:rsidR="00E31A93" w:rsidRPr="007A7B03">
        <w:rPr>
          <w:b/>
        </w:rPr>
        <w:t>,</w:t>
      </w:r>
      <w:r w:rsidRPr="007A7B03">
        <w:t xml:space="preserve"> kot je to značilno za bralni dosežek učencev </w:t>
      </w:r>
      <w:r w:rsidR="00E31A93" w:rsidRPr="007A7B03">
        <w:t xml:space="preserve">z </w:t>
      </w:r>
      <w:r w:rsidRPr="007A7B03">
        <w:t>nižj</w:t>
      </w:r>
      <w:r w:rsidR="00E31A93" w:rsidRPr="007A7B03">
        <w:t>im</w:t>
      </w:r>
      <w:r w:rsidRPr="007A7B03">
        <w:t xml:space="preserve"> SES. Tako je tudi v Sloveniji, in sicer gre za razliko 78 točk</w:t>
      </w:r>
      <w:r w:rsidR="00A956AE" w:rsidRPr="007A7B03">
        <w:t>.</w:t>
      </w:r>
      <w:r w:rsidR="009514AF" w:rsidRPr="007A7B03">
        <w:t xml:space="preserve"> Če pogledamo bralni dosežek le v razmerju do števila knjig doma, </w:t>
      </w:r>
      <w:r w:rsidR="00E31A93" w:rsidRPr="007A7B03">
        <w:t xml:space="preserve">ugotovimo, da </w:t>
      </w:r>
      <w:r w:rsidR="009514AF" w:rsidRPr="007A7B03">
        <w:t xml:space="preserve">tisti, </w:t>
      </w:r>
      <w:r w:rsidR="009514AF" w:rsidRPr="007A7B03">
        <w:rPr>
          <w:b/>
        </w:rPr>
        <w:t xml:space="preserve">ki imajo </w:t>
      </w:r>
      <w:r w:rsidR="00E31A93" w:rsidRPr="007A7B03">
        <w:rPr>
          <w:b/>
        </w:rPr>
        <w:t xml:space="preserve">doma </w:t>
      </w:r>
      <w:r w:rsidR="009514AF" w:rsidRPr="007A7B03">
        <w:rPr>
          <w:b/>
        </w:rPr>
        <w:t>več knjig</w:t>
      </w:r>
      <w:r w:rsidR="00E31A93" w:rsidRPr="007A7B03">
        <w:rPr>
          <w:b/>
        </w:rPr>
        <w:t xml:space="preserve">, </w:t>
      </w:r>
      <w:r w:rsidR="009514AF" w:rsidRPr="007A7B03">
        <w:rPr>
          <w:b/>
        </w:rPr>
        <w:t xml:space="preserve">dosegajo boljše bralne dosežke. </w:t>
      </w:r>
      <w:r w:rsidR="0006017A" w:rsidRPr="007A7B03">
        <w:t xml:space="preserve">Prav tako </w:t>
      </w:r>
      <w:r w:rsidR="0006017A" w:rsidRPr="007A7B03">
        <w:rPr>
          <w:b/>
        </w:rPr>
        <w:t xml:space="preserve">boljši bralni dosežek </w:t>
      </w:r>
      <w:r w:rsidR="00E31A93" w:rsidRPr="007A7B03">
        <w:rPr>
          <w:b/>
        </w:rPr>
        <w:t xml:space="preserve">izkazujejo </w:t>
      </w:r>
      <w:r w:rsidR="0006017A" w:rsidRPr="007A7B03">
        <w:rPr>
          <w:b/>
        </w:rPr>
        <w:t>učenci, ki doma pogosteje govorijo slovensko</w:t>
      </w:r>
      <w:r w:rsidR="0006017A" w:rsidRPr="007A7B03">
        <w:t xml:space="preserve">. </w:t>
      </w:r>
    </w:p>
    <w:p w14:paraId="0DD7C6EE" w14:textId="59932C2B" w:rsidR="00E4447F" w:rsidRPr="007A7B03" w:rsidRDefault="00D6233D" w:rsidP="00A437E8">
      <w:pPr>
        <w:jc w:val="both"/>
      </w:pPr>
      <w:r w:rsidRPr="007A7B03">
        <w:t xml:space="preserve">V raziskavi PIRLS zbiramo podatke tudi o tem, kako radi berejo starši. Slednje se lahko namreč prenaša tudi na odnos do branja njihovih otrok. Bralni dosežek se </w:t>
      </w:r>
      <w:r w:rsidR="009514AF" w:rsidRPr="007A7B03">
        <w:t xml:space="preserve">na mednarodni ravni in v Sloveniji </w:t>
      </w:r>
      <w:r w:rsidRPr="007A7B03">
        <w:t>povezuje tudi s tem</w:t>
      </w:r>
      <w:r w:rsidR="00E31A93" w:rsidRPr="007A7B03">
        <w:t>,</w:t>
      </w:r>
      <w:r w:rsidRPr="007A7B03">
        <w:t xml:space="preserve"> kako radi berejo starši, in </w:t>
      </w:r>
      <w:r w:rsidRPr="007A7B03">
        <w:rPr>
          <w:b/>
        </w:rPr>
        <w:t>starši v Sloveniji</w:t>
      </w:r>
      <w:r w:rsidRPr="007A7B03">
        <w:t xml:space="preserve"> so pri tem uvrščeni v kategorijo </w:t>
      </w:r>
      <w:r w:rsidR="00E31A93" w:rsidRPr="007A7B03">
        <w:rPr>
          <w:b/>
        </w:rPr>
        <w:t>N</w:t>
      </w:r>
      <w:r w:rsidRPr="007A7B03">
        <w:rPr>
          <w:b/>
        </w:rPr>
        <w:t>ekoliko radi berejo.</w:t>
      </w:r>
      <w:r w:rsidRPr="007A7B03">
        <w:t xml:space="preserve"> </w:t>
      </w:r>
      <w:r w:rsidR="00621F83" w:rsidRPr="007A7B03">
        <w:t xml:space="preserve">Le 26 % četrtošolcev ima starše, ki zelo radi berejo. V povprečju imajo ti otroci </w:t>
      </w:r>
      <w:r w:rsidR="00E31A93" w:rsidRPr="007A7B03">
        <w:t xml:space="preserve">za </w:t>
      </w:r>
      <w:r w:rsidR="00621F83" w:rsidRPr="007A7B03">
        <w:t xml:space="preserve">24 točk višji bralni dosežek od otrok staršev, ki nekoliko radi berejo (teh je v Sloveniji 52 %). </w:t>
      </w:r>
      <w:r w:rsidR="00C24AFB" w:rsidRPr="007A7B03">
        <w:rPr>
          <w:b/>
        </w:rPr>
        <w:t>V Sloveniji je le 28 % učencev poročalo, da zelo radi berejo.</w:t>
      </w:r>
      <w:r w:rsidR="00C24AFB" w:rsidRPr="007A7B03">
        <w:t xml:space="preserve"> 18 % </w:t>
      </w:r>
      <w:r w:rsidR="00E31A93" w:rsidRPr="007A7B03">
        <w:t xml:space="preserve">jih </w:t>
      </w:r>
      <w:r w:rsidR="00C24AFB" w:rsidRPr="007A7B03">
        <w:t xml:space="preserve">na mednarodni ravni poročalo, </w:t>
      </w:r>
      <w:r w:rsidR="00C24AFB" w:rsidRPr="007A7B03">
        <w:rPr>
          <w:b/>
        </w:rPr>
        <w:t>da ne marajo branja</w:t>
      </w:r>
      <w:r w:rsidR="00C24AFB" w:rsidRPr="007A7B03">
        <w:t>, pri nas</w:t>
      </w:r>
      <w:r w:rsidR="00E31A93" w:rsidRPr="007A7B03">
        <w:t xml:space="preserve"> pa</w:t>
      </w:r>
      <w:r w:rsidR="00C24AFB" w:rsidRPr="007A7B03">
        <w:t xml:space="preserve"> je bilo t</w:t>
      </w:r>
      <w:r w:rsidR="00E31A93" w:rsidRPr="007A7B03">
        <w:t>akšnih</w:t>
      </w:r>
      <w:r w:rsidR="00C24AFB" w:rsidRPr="007A7B03">
        <w:t xml:space="preserve"> učencev </w:t>
      </w:r>
      <w:r w:rsidR="00C24AFB" w:rsidRPr="007A7B03">
        <w:rPr>
          <w:b/>
        </w:rPr>
        <w:t>23 %.</w:t>
      </w:r>
    </w:p>
    <w:p w14:paraId="29F75D3F" w14:textId="77777777" w:rsidR="00523CFD" w:rsidRPr="007A7B03" w:rsidRDefault="00E777A4" w:rsidP="00A437E8">
      <w:pPr>
        <w:jc w:val="both"/>
        <w:rPr>
          <w:b/>
        </w:rPr>
      </w:pPr>
      <w:r w:rsidRPr="007A7B03">
        <w:rPr>
          <w:b/>
        </w:rPr>
        <w:t xml:space="preserve">Branje in </w:t>
      </w:r>
      <w:r w:rsidR="00523CFD" w:rsidRPr="007A7B03">
        <w:rPr>
          <w:b/>
        </w:rPr>
        <w:t>šolski kontekst</w:t>
      </w:r>
    </w:p>
    <w:p w14:paraId="11C109FD" w14:textId="77777777" w:rsidR="007C0FB4" w:rsidRPr="007A7B03" w:rsidRDefault="008A725A" w:rsidP="00A437E8">
      <w:pPr>
        <w:jc w:val="both"/>
      </w:pPr>
      <w:r w:rsidRPr="007A7B03">
        <w:rPr>
          <w:b/>
        </w:rPr>
        <w:t>Pri bralnem dosežku v Sloveniji med šolami ni velikih razlik</w:t>
      </w:r>
      <w:r w:rsidRPr="007A7B03">
        <w:t xml:space="preserve">, nasprotno, te razlike so zelo majhne. So pa velike razlike med učenci v šolah. </w:t>
      </w:r>
    </w:p>
    <w:p w14:paraId="35A8E90E" w14:textId="39047479" w:rsidR="00552EA3" w:rsidRPr="007A7B03" w:rsidRDefault="007C0FB4" w:rsidP="00A437E8">
      <w:pPr>
        <w:jc w:val="both"/>
      </w:pPr>
      <w:r w:rsidRPr="007A7B03">
        <w:t xml:space="preserve">Učenci so poročali tudi o različnih dejavnostih v šoli, povezanih z branjem. </w:t>
      </w:r>
      <w:r w:rsidR="00AC6D9B" w:rsidRPr="007A7B03">
        <w:t xml:space="preserve">Na splošno so učenci precej zadovoljni s poukom branja v šoli. </w:t>
      </w:r>
      <w:r w:rsidRPr="007A7B03">
        <w:rPr>
          <w:b/>
        </w:rPr>
        <w:t>Večini je všeč</w:t>
      </w:r>
      <w:r w:rsidR="00E31A93" w:rsidRPr="007A7B03">
        <w:rPr>
          <w:b/>
        </w:rPr>
        <w:t>,</w:t>
      </w:r>
      <w:r w:rsidRPr="007A7B03">
        <w:rPr>
          <w:b/>
        </w:rPr>
        <w:t xml:space="preserve"> kar berejo v šoli</w:t>
      </w:r>
      <w:r w:rsidR="00AC6D9B" w:rsidRPr="007A7B03">
        <w:t xml:space="preserve"> (približno 18 % pa ne)</w:t>
      </w:r>
      <w:r w:rsidRPr="007A7B03">
        <w:t xml:space="preserve">. </w:t>
      </w:r>
      <w:r w:rsidR="00AC6D9B" w:rsidRPr="007A7B03">
        <w:t xml:space="preserve">Večina jih zelo </w:t>
      </w:r>
      <w:r w:rsidR="00AC6D9B" w:rsidRPr="007A7B03">
        <w:rPr>
          <w:b/>
        </w:rPr>
        <w:t>dobro</w:t>
      </w:r>
      <w:r w:rsidR="00AC6D9B" w:rsidRPr="007A7B03">
        <w:t xml:space="preserve"> ocenjuje tudi </w:t>
      </w:r>
      <w:r w:rsidR="00AC6D9B" w:rsidRPr="007A7B03">
        <w:rPr>
          <w:b/>
        </w:rPr>
        <w:t xml:space="preserve">interakcijo med </w:t>
      </w:r>
      <w:r w:rsidR="00E31A93" w:rsidRPr="007A7B03">
        <w:rPr>
          <w:b/>
        </w:rPr>
        <w:t>sabo</w:t>
      </w:r>
      <w:r w:rsidR="00AC6D9B" w:rsidRPr="007A7B03">
        <w:rPr>
          <w:b/>
        </w:rPr>
        <w:t xml:space="preserve"> in učitelji pri pouku branja</w:t>
      </w:r>
      <w:r w:rsidR="00AC6D9B" w:rsidRPr="007A7B03">
        <w:t xml:space="preserve"> (npr. jasna pričakovanja učiteljev, njihova podpora pri učenju, </w:t>
      </w:r>
      <w:r w:rsidR="0006017A" w:rsidRPr="007A7B03">
        <w:t>spodbuja</w:t>
      </w:r>
      <w:r w:rsidR="00E31A93" w:rsidRPr="007A7B03">
        <w:t>nje</w:t>
      </w:r>
      <w:r w:rsidR="0006017A" w:rsidRPr="007A7B03">
        <w:t xml:space="preserve"> izražanj</w:t>
      </w:r>
      <w:r w:rsidR="00E31A93" w:rsidRPr="007A7B03">
        <w:t>a</w:t>
      </w:r>
      <w:r w:rsidR="0006017A" w:rsidRPr="007A7B03">
        <w:t xml:space="preserve"> mnenj o prebranem, </w:t>
      </w:r>
      <w:r w:rsidR="00AC6D9B" w:rsidRPr="007A7B03">
        <w:t>učenci imajo možnost pokazati, kaj so se naučili</w:t>
      </w:r>
      <w:r w:rsidR="00E31A93" w:rsidRPr="007A7B03">
        <w:t>,</w:t>
      </w:r>
      <w:r w:rsidR="00AC6D9B" w:rsidRPr="007A7B03">
        <w:t xml:space="preserve"> itd.)</w:t>
      </w:r>
      <w:r w:rsidR="0006017A" w:rsidRPr="007A7B03">
        <w:t>.</w:t>
      </w:r>
      <w:r w:rsidR="00AC6D9B" w:rsidRPr="007A7B03">
        <w:t xml:space="preserve"> </w:t>
      </w:r>
    </w:p>
    <w:p w14:paraId="2C019621" w14:textId="77777777" w:rsidR="00D37C4E" w:rsidRPr="007A7B03" w:rsidRDefault="00523CFD" w:rsidP="00A437E8">
      <w:pPr>
        <w:jc w:val="both"/>
        <w:rPr>
          <w:b/>
        </w:rPr>
      </w:pPr>
      <w:r w:rsidRPr="007A7B03">
        <w:rPr>
          <w:b/>
        </w:rPr>
        <w:lastRenderedPageBreak/>
        <w:t>Medvr</w:t>
      </w:r>
      <w:r w:rsidR="001A2DA0" w:rsidRPr="007A7B03">
        <w:rPr>
          <w:b/>
        </w:rPr>
        <w:t>s</w:t>
      </w:r>
      <w:r w:rsidRPr="007A7B03">
        <w:rPr>
          <w:b/>
        </w:rPr>
        <w:t>tniško nasilje</w:t>
      </w:r>
      <w:r w:rsidR="00745A15" w:rsidRPr="007A7B03">
        <w:rPr>
          <w:b/>
        </w:rPr>
        <w:t xml:space="preserve"> </w:t>
      </w:r>
      <w:r w:rsidR="00C24AFB" w:rsidRPr="007A7B03">
        <w:rPr>
          <w:b/>
        </w:rPr>
        <w:t xml:space="preserve">in </w:t>
      </w:r>
      <w:r w:rsidRPr="007A7B03">
        <w:rPr>
          <w:b/>
        </w:rPr>
        <w:t>branje</w:t>
      </w:r>
      <w:r w:rsidR="00C24AFB" w:rsidRPr="007A7B03">
        <w:rPr>
          <w:b/>
        </w:rPr>
        <w:t>,</w:t>
      </w:r>
      <w:r w:rsidR="00D37C4E" w:rsidRPr="007A7B03">
        <w:rPr>
          <w:b/>
        </w:rPr>
        <w:t xml:space="preserve"> SE</w:t>
      </w:r>
      <w:r w:rsidR="00674C74" w:rsidRPr="007A7B03">
        <w:rPr>
          <w:b/>
        </w:rPr>
        <w:t>S</w:t>
      </w:r>
      <w:r w:rsidR="00C24AFB" w:rsidRPr="007A7B03">
        <w:rPr>
          <w:b/>
        </w:rPr>
        <w:t xml:space="preserve"> in utrujenost/lakota učencev</w:t>
      </w:r>
    </w:p>
    <w:p w14:paraId="53E933DF" w14:textId="7AF52A6F" w:rsidR="006442A5" w:rsidRPr="007A7B03" w:rsidRDefault="006442A5" w:rsidP="00A437E8">
      <w:pPr>
        <w:jc w:val="both"/>
      </w:pPr>
      <w:r w:rsidRPr="007A7B03">
        <w:t xml:space="preserve">Učinkovito učenje je odvisno tudi od tega, ali so učenci ob učenju utrujeni ali ne, ali zjutraj </w:t>
      </w:r>
      <w:r w:rsidR="00E31A93" w:rsidRPr="007A7B03">
        <w:t xml:space="preserve">prihajajo </w:t>
      </w:r>
      <w:r w:rsidRPr="007A7B03">
        <w:t xml:space="preserve">v šolo lačni ali ne, </w:t>
      </w:r>
      <w:r w:rsidR="00E31A93" w:rsidRPr="007A7B03">
        <w:t xml:space="preserve">ali </w:t>
      </w:r>
      <w:r w:rsidRPr="007A7B03">
        <w:t>so v šoli nadlegovani itd.</w:t>
      </w:r>
    </w:p>
    <w:p w14:paraId="3477E195" w14:textId="5A7B5B03" w:rsidR="006442A5" w:rsidRPr="007A7B03" w:rsidRDefault="006442A5" w:rsidP="00A437E8">
      <w:pPr>
        <w:jc w:val="both"/>
      </w:pPr>
      <w:r w:rsidRPr="007A7B03">
        <w:t xml:space="preserve">Večina četrtošolcev v Sloveniji se strinja (kategoriji </w:t>
      </w:r>
      <w:r w:rsidR="00E31A93" w:rsidRPr="007A7B03">
        <w:t>S</w:t>
      </w:r>
      <w:r w:rsidRPr="007A7B03">
        <w:t xml:space="preserve">trinjam se in </w:t>
      </w:r>
      <w:r w:rsidR="00E3085B" w:rsidRPr="00760B42">
        <w:t>Z</w:t>
      </w:r>
      <w:r w:rsidRPr="007A7B03">
        <w:t>elo se strinjam), da se v šoli počutijo varn</w:t>
      </w:r>
      <w:r w:rsidR="00E31A93" w:rsidRPr="007A7B03">
        <w:t>e</w:t>
      </w:r>
      <w:r w:rsidRPr="007A7B03">
        <w:t xml:space="preserve">, čutijo, da </w:t>
      </w:r>
      <w:r w:rsidR="00E31A93" w:rsidRPr="007A7B03">
        <w:t xml:space="preserve">šoli </w:t>
      </w:r>
      <w:r w:rsidRPr="007A7B03">
        <w:t>pripadajo, da so učiteljice in učitelji do njih prijazni, ponosni</w:t>
      </w:r>
      <w:r w:rsidR="00E31A93" w:rsidRPr="007A7B03">
        <w:t xml:space="preserve"> so</w:t>
      </w:r>
      <w:r w:rsidRPr="007A7B03">
        <w:t xml:space="preserve">, da obiskujejo šolo, v kateri so, prav tako ima pretežni delež učencev v svoji šoli tudi prijatelje in prijateljice. Kljub visokim odstotkom, ki izražajo pripadnost šoli, se </w:t>
      </w:r>
      <w:r w:rsidRPr="007A7B03">
        <w:rPr>
          <w:b/>
        </w:rPr>
        <w:t>1</w:t>
      </w:r>
      <w:r w:rsidR="00D47CCD" w:rsidRPr="007A7B03">
        <w:rPr>
          <w:b/>
        </w:rPr>
        <w:t>0</w:t>
      </w:r>
      <w:r w:rsidRPr="007A7B03">
        <w:rPr>
          <w:b/>
        </w:rPr>
        <w:t xml:space="preserve"> % učencev v šoli ne počuti varnih</w:t>
      </w:r>
      <w:r w:rsidRPr="007A7B03">
        <w:t xml:space="preserve">, 14 % pa jih ne čuti pripadnosti šoli, ki jo obiskujejo. Ko smo jih vprašali po </w:t>
      </w:r>
      <w:r w:rsidRPr="007A7B03">
        <w:rPr>
          <w:b/>
        </w:rPr>
        <w:t>različnih oblikah medvrstniškega nasilja</w:t>
      </w:r>
      <w:r w:rsidRPr="007A7B03">
        <w:t xml:space="preserve">, so slednje navajali v različnem obsegu pogostosti, a spet se je pokazalo, da </w:t>
      </w:r>
      <w:r w:rsidRPr="007A7B03">
        <w:rPr>
          <w:b/>
        </w:rPr>
        <w:t>ta problem v šolah v Sloveniji obstaja</w:t>
      </w:r>
      <w:r w:rsidR="00D47CCD" w:rsidRPr="007A7B03">
        <w:rPr>
          <w:b/>
        </w:rPr>
        <w:t xml:space="preserve"> in </w:t>
      </w:r>
      <w:r w:rsidR="00E31A93" w:rsidRPr="007A7B03">
        <w:rPr>
          <w:b/>
        </w:rPr>
        <w:t>da</w:t>
      </w:r>
      <w:r w:rsidR="00D47CCD" w:rsidRPr="007A7B03">
        <w:rPr>
          <w:b/>
        </w:rPr>
        <w:t xml:space="preserve"> ni majhen</w:t>
      </w:r>
      <w:r w:rsidRPr="007A7B03">
        <w:t>.</w:t>
      </w:r>
      <w:r w:rsidR="004E04F7" w:rsidRPr="007A7B03">
        <w:t xml:space="preserve"> Prav tako je pogostost biti žrtev medvrstniškega nasilja povezana z bralnim dosežkom (tisti, ki so </w:t>
      </w:r>
      <w:r w:rsidR="004E04F7" w:rsidRPr="007A7B03">
        <w:rPr>
          <w:b/>
        </w:rPr>
        <w:t>pogosteje žrtve medvrstniškega nasilja</w:t>
      </w:r>
      <w:r w:rsidR="00E31A93" w:rsidRPr="007A7B03">
        <w:rPr>
          <w:b/>
        </w:rPr>
        <w:t>,</w:t>
      </w:r>
      <w:r w:rsidR="004E04F7" w:rsidRPr="007A7B03">
        <w:rPr>
          <w:b/>
        </w:rPr>
        <w:t xml:space="preserve"> imajo nižji bralni dosežek</w:t>
      </w:r>
      <w:r w:rsidR="004E04F7" w:rsidRPr="007A7B03">
        <w:t>).</w:t>
      </w:r>
      <w:r w:rsidR="00E31A93" w:rsidRPr="007A7B03">
        <w:t xml:space="preserve"> </w:t>
      </w:r>
    </w:p>
    <w:p w14:paraId="7615D65C" w14:textId="77777777" w:rsidR="009E45CB" w:rsidRPr="007A7B03" w:rsidRDefault="009E45CB" w:rsidP="009E45CB">
      <w:r w:rsidRPr="007A7B03">
        <w:t>Tabela 1.1: Medvrstniško nasilje</w:t>
      </w:r>
      <w:r w:rsidR="00150440" w:rsidRPr="007A7B03">
        <w:t xml:space="preserve"> (v %)</w:t>
      </w:r>
    </w:p>
    <w:tbl>
      <w:tblPr>
        <w:tblStyle w:val="TableGrid"/>
        <w:tblW w:w="0" w:type="auto"/>
        <w:tblLook w:val="04A0" w:firstRow="1" w:lastRow="0" w:firstColumn="1" w:lastColumn="0" w:noHBand="0" w:noVBand="1"/>
      </w:tblPr>
      <w:tblGrid>
        <w:gridCol w:w="5098"/>
        <w:gridCol w:w="1134"/>
        <w:gridCol w:w="1134"/>
        <w:gridCol w:w="994"/>
        <w:gridCol w:w="992"/>
      </w:tblGrid>
      <w:tr w:rsidR="009E45CB" w:rsidRPr="007A7B03" w14:paraId="619BBB23" w14:textId="77777777" w:rsidTr="00222599">
        <w:trPr>
          <w:trHeight w:val="310"/>
        </w:trPr>
        <w:tc>
          <w:tcPr>
            <w:tcW w:w="5098" w:type="dxa"/>
            <w:noWrap/>
            <w:hideMark/>
          </w:tcPr>
          <w:p w14:paraId="3ECD8155" w14:textId="77777777" w:rsidR="009E45CB" w:rsidRPr="007A7B03" w:rsidRDefault="009E45CB" w:rsidP="00F72AD2">
            <w:pPr>
              <w:rPr>
                <w:b/>
                <w:sz w:val="20"/>
                <w:szCs w:val="20"/>
              </w:rPr>
            </w:pPr>
            <w:r w:rsidRPr="007A7B03">
              <w:rPr>
                <w:b/>
                <w:sz w:val="20"/>
                <w:szCs w:val="20"/>
              </w:rPr>
              <w:t>Kolikokrat se ti je med tem šolskim letom v šoli zgodilo kaj od naslednjega (upoštevaj tudi sporočila na internetu in SMS-sporočila)?</w:t>
            </w:r>
            <w:r w:rsidRPr="007A7B03">
              <w:rPr>
                <w:b/>
                <w:sz w:val="20"/>
                <w:szCs w:val="20"/>
              </w:rPr>
              <w:tab/>
            </w:r>
          </w:p>
        </w:tc>
        <w:tc>
          <w:tcPr>
            <w:tcW w:w="1134" w:type="dxa"/>
            <w:noWrap/>
            <w:hideMark/>
          </w:tcPr>
          <w:p w14:paraId="6CE761BC" w14:textId="77777777" w:rsidR="009E45CB" w:rsidRPr="007A7B03" w:rsidRDefault="009E45CB" w:rsidP="00F72AD2">
            <w:pPr>
              <w:rPr>
                <w:sz w:val="20"/>
                <w:szCs w:val="20"/>
              </w:rPr>
            </w:pPr>
            <w:r w:rsidRPr="007A7B03">
              <w:rPr>
                <w:sz w:val="20"/>
                <w:szCs w:val="20"/>
              </w:rPr>
              <w:t>Vsaj enkrat na teden</w:t>
            </w:r>
            <w:r w:rsidR="00150440" w:rsidRPr="007A7B03">
              <w:rPr>
                <w:sz w:val="20"/>
                <w:szCs w:val="20"/>
              </w:rPr>
              <w:t xml:space="preserve"> </w:t>
            </w:r>
          </w:p>
        </w:tc>
        <w:tc>
          <w:tcPr>
            <w:tcW w:w="1134" w:type="dxa"/>
            <w:noWrap/>
            <w:hideMark/>
          </w:tcPr>
          <w:p w14:paraId="039D4A8F" w14:textId="495F66CB" w:rsidR="009E45CB" w:rsidRPr="007A7B03" w:rsidRDefault="009E45CB" w:rsidP="00F72AD2">
            <w:pPr>
              <w:rPr>
                <w:sz w:val="20"/>
                <w:szCs w:val="20"/>
              </w:rPr>
            </w:pPr>
            <w:r w:rsidRPr="007A7B03">
              <w:rPr>
                <w:sz w:val="20"/>
                <w:szCs w:val="20"/>
              </w:rPr>
              <w:t>Enkrat ali dvakrat na mesec</w:t>
            </w:r>
          </w:p>
        </w:tc>
        <w:tc>
          <w:tcPr>
            <w:tcW w:w="994" w:type="dxa"/>
            <w:noWrap/>
            <w:hideMark/>
          </w:tcPr>
          <w:p w14:paraId="4441FABC" w14:textId="77777777" w:rsidR="009E45CB" w:rsidRPr="007A7B03" w:rsidRDefault="009E45CB" w:rsidP="00F72AD2">
            <w:pPr>
              <w:rPr>
                <w:sz w:val="20"/>
                <w:szCs w:val="20"/>
              </w:rPr>
            </w:pPr>
            <w:r w:rsidRPr="007A7B03">
              <w:rPr>
                <w:sz w:val="20"/>
                <w:szCs w:val="20"/>
              </w:rPr>
              <w:t>Nekajkrat na leto</w:t>
            </w:r>
          </w:p>
        </w:tc>
        <w:tc>
          <w:tcPr>
            <w:tcW w:w="992" w:type="dxa"/>
            <w:noWrap/>
            <w:hideMark/>
          </w:tcPr>
          <w:p w14:paraId="323CCD46" w14:textId="77777777" w:rsidR="009E45CB" w:rsidRPr="007A7B03" w:rsidRDefault="009E45CB" w:rsidP="00F72AD2">
            <w:pPr>
              <w:rPr>
                <w:sz w:val="20"/>
                <w:szCs w:val="20"/>
              </w:rPr>
            </w:pPr>
            <w:r w:rsidRPr="007A7B03">
              <w:rPr>
                <w:sz w:val="20"/>
                <w:szCs w:val="20"/>
              </w:rPr>
              <w:t>Nikoli</w:t>
            </w:r>
          </w:p>
        </w:tc>
      </w:tr>
      <w:tr w:rsidR="009E45CB" w:rsidRPr="007A7B03" w14:paraId="683FC36D" w14:textId="77777777" w:rsidTr="00222599">
        <w:trPr>
          <w:trHeight w:val="310"/>
        </w:trPr>
        <w:tc>
          <w:tcPr>
            <w:tcW w:w="5098" w:type="dxa"/>
            <w:noWrap/>
            <w:hideMark/>
          </w:tcPr>
          <w:p w14:paraId="2E671D36" w14:textId="77777777" w:rsidR="009E45CB" w:rsidRPr="007A7B03" w:rsidRDefault="009E45CB" w:rsidP="00F72AD2">
            <w:pPr>
              <w:rPr>
                <w:sz w:val="20"/>
                <w:szCs w:val="20"/>
              </w:rPr>
            </w:pPr>
            <w:r w:rsidRPr="007A7B03">
              <w:rPr>
                <w:sz w:val="20"/>
                <w:szCs w:val="20"/>
              </w:rPr>
              <w:t>Iz mene so se norčevali ali me zmerjali.</w:t>
            </w:r>
          </w:p>
        </w:tc>
        <w:tc>
          <w:tcPr>
            <w:tcW w:w="1134" w:type="dxa"/>
            <w:noWrap/>
            <w:hideMark/>
          </w:tcPr>
          <w:p w14:paraId="44D85EE2" w14:textId="77777777" w:rsidR="009E45CB" w:rsidRPr="007A7B03" w:rsidRDefault="009E45CB" w:rsidP="00F72AD2">
            <w:pPr>
              <w:rPr>
                <w:sz w:val="20"/>
                <w:szCs w:val="20"/>
              </w:rPr>
            </w:pPr>
            <w:r w:rsidRPr="007A7B03">
              <w:rPr>
                <w:sz w:val="20"/>
                <w:szCs w:val="20"/>
              </w:rPr>
              <w:t>16 (0,8)</w:t>
            </w:r>
          </w:p>
        </w:tc>
        <w:tc>
          <w:tcPr>
            <w:tcW w:w="1134" w:type="dxa"/>
            <w:noWrap/>
            <w:hideMark/>
          </w:tcPr>
          <w:p w14:paraId="3BBCDBC5" w14:textId="77777777" w:rsidR="009E45CB" w:rsidRPr="007A7B03" w:rsidRDefault="009E45CB" w:rsidP="00F72AD2">
            <w:pPr>
              <w:rPr>
                <w:sz w:val="20"/>
                <w:szCs w:val="20"/>
              </w:rPr>
            </w:pPr>
            <w:r w:rsidRPr="007A7B03">
              <w:rPr>
                <w:sz w:val="20"/>
                <w:szCs w:val="20"/>
              </w:rPr>
              <w:t>11 (0,6)</w:t>
            </w:r>
          </w:p>
        </w:tc>
        <w:tc>
          <w:tcPr>
            <w:tcW w:w="994" w:type="dxa"/>
            <w:noWrap/>
            <w:hideMark/>
          </w:tcPr>
          <w:p w14:paraId="5747DBF9" w14:textId="77777777" w:rsidR="009E45CB" w:rsidRPr="007A7B03" w:rsidRDefault="009E45CB" w:rsidP="00F72AD2">
            <w:pPr>
              <w:rPr>
                <w:sz w:val="20"/>
                <w:szCs w:val="20"/>
              </w:rPr>
            </w:pPr>
            <w:r w:rsidRPr="007A7B03">
              <w:rPr>
                <w:sz w:val="20"/>
                <w:szCs w:val="20"/>
              </w:rPr>
              <w:t>24 (0,8)</w:t>
            </w:r>
          </w:p>
        </w:tc>
        <w:tc>
          <w:tcPr>
            <w:tcW w:w="992" w:type="dxa"/>
            <w:noWrap/>
            <w:hideMark/>
          </w:tcPr>
          <w:p w14:paraId="7ACEBD44" w14:textId="77777777" w:rsidR="009E45CB" w:rsidRPr="007A7B03" w:rsidRDefault="009E45CB" w:rsidP="00F72AD2">
            <w:pPr>
              <w:rPr>
                <w:sz w:val="20"/>
                <w:szCs w:val="20"/>
              </w:rPr>
            </w:pPr>
            <w:r w:rsidRPr="007A7B03">
              <w:rPr>
                <w:sz w:val="20"/>
                <w:szCs w:val="20"/>
              </w:rPr>
              <w:t>49 (1,2)</w:t>
            </w:r>
          </w:p>
        </w:tc>
      </w:tr>
      <w:tr w:rsidR="009E45CB" w:rsidRPr="007A7B03" w14:paraId="635184E0" w14:textId="77777777" w:rsidTr="00222599">
        <w:trPr>
          <w:trHeight w:val="310"/>
        </w:trPr>
        <w:tc>
          <w:tcPr>
            <w:tcW w:w="5098" w:type="dxa"/>
            <w:noWrap/>
            <w:hideMark/>
          </w:tcPr>
          <w:p w14:paraId="713911D3" w14:textId="77777777" w:rsidR="009E45CB" w:rsidRPr="007A7B03" w:rsidRDefault="009E45CB" w:rsidP="00F72AD2">
            <w:pPr>
              <w:rPr>
                <w:sz w:val="20"/>
                <w:szCs w:val="20"/>
              </w:rPr>
            </w:pPr>
            <w:r w:rsidRPr="007A7B03">
              <w:rPr>
                <w:sz w:val="20"/>
                <w:szCs w:val="20"/>
              </w:rPr>
              <w:t>Izključili so me iz igre ali drugih aktivnosti.</w:t>
            </w:r>
          </w:p>
        </w:tc>
        <w:tc>
          <w:tcPr>
            <w:tcW w:w="1134" w:type="dxa"/>
            <w:noWrap/>
            <w:hideMark/>
          </w:tcPr>
          <w:p w14:paraId="356DB4B4" w14:textId="77777777" w:rsidR="009E45CB" w:rsidRPr="007A7B03" w:rsidRDefault="009E45CB" w:rsidP="00F72AD2">
            <w:pPr>
              <w:rPr>
                <w:sz w:val="20"/>
                <w:szCs w:val="20"/>
              </w:rPr>
            </w:pPr>
            <w:r w:rsidRPr="007A7B03">
              <w:rPr>
                <w:sz w:val="20"/>
                <w:szCs w:val="20"/>
              </w:rPr>
              <w:t>11 (0,5)</w:t>
            </w:r>
          </w:p>
        </w:tc>
        <w:tc>
          <w:tcPr>
            <w:tcW w:w="1134" w:type="dxa"/>
            <w:noWrap/>
            <w:hideMark/>
          </w:tcPr>
          <w:p w14:paraId="4CBA2A57" w14:textId="77777777" w:rsidR="009E45CB" w:rsidRPr="007A7B03" w:rsidRDefault="009E45CB" w:rsidP="00F72AD2">
            <w:pPr>
              <w:rPr>
                <w:sz w:val="20"/>
                <w:szCs w:val="20"/>
              </w:rPr>
            </w:pPr>
            <w:r w:rsidRPr="007A7B03">
              <w:rPr>
                <w:sz w:val="20"/>
                <w:szCs w:val="20"/>
              </w:rPr>
              <w:t>11 (0,5)</w:t>
            </w:r>
          </w:p>
        </w:tc>
        <w:tc>
          <w:tcPr>
            <w:tcW w:w="994" w:type="dxa"/>
            <w:noWrap/>
            <w:hideMark/>
          </w:tcPr>
          <w:p w14:paraId="1CF73A5A" w14:textId="77777777" w:rsidR="009E45CB" w:rsidRPr="007A7B03" w:rsidRDefault="009E45CB" w:rsidP="00F72AD2">
            <w:pPr>
              <w:rPr>
                <w:sz w:val="20"/>
                <w:szCs w:val="20"/>
              </w:rPr>
            </w:pPr>
            <w:r w:rsidRPr="007A7B03">
              <w:rPr>
                <w:sz w:val="20"/>
                <w:szCs w:val="20"/>
              </w:rPr>
              <w:t>21 (0,8)</w:t>
            </w:r>
          </w:p>
        </w:tc>
        <w:tc>
          <w:tcPr>
            <w:tcW w:w="992" w:type="dxa"/>
            <w:noWrap/>
            <w:hideMark/>
          </w:tcPr>
          <w:p w14:paraId="53865401" w14:textId="77777777" w:rsidR="009E45CB" w:rsidRPr="007A7B03" w:rsidRDefault="009E45CB" w:rsidP="00F72AD2">
            <w:pPr>
              <w:rPr>
                <w:sz w:val="20"/>
                <w:szCs w:val="20"/>
              </w:rPr>
            </w:pPr>
            <w:r w:rsidRPr="007A7B03">
              <w:rPr>
                <w:sz w:val="20"/>
                <w:szCs w:val="20"/>
              </w:rPr>
              <w:t>57 (1,0)</w:t>
            </w:r>
          </w:p>
        </w:tc>
      </w:tr>
      <w:tr w:rsidR="009E45CB" w:rsidRPr="007A7B03" w14:paraId="0CF1F2B8" w14:textId="77777777" w:rsidTr="00222599">
        <w:trPr>
          <w:trHeight w:val="310"/>
        </w:trPr>
        <w:tc>
          <w:tcPr>
            <w:tcW w:w="5098" w:type="dxa"/>
            <w:noWrap/>
            <w:hideMark/>
          </w:tcPr>
          <w:p w14:paraId="49636F66" w14:textId="77777777" w:rsidR="009E45CB" w:rsidRPr="007A7B03" w:rsidRDefault="009E45CB" w:rsidP="00F72AD2">
            <w:pPr>
              <w:rPr>
                <w:sz w:val="20"/>
                <w:szCs w:val="20"/>
              </w:rPr>
            </w:pPr>
            <w:r w:rsidRPr="007A7B03">
              <w:rPr>
                <w:sz w:val="20"/>
                <w:szCs w:val="20"/>
              </w:rPr>
              <w:t>O meni so širili laži.</w:t>
            </w:r>
          </w:p>
        </w:tc>
        <w:tc>
          <w:tcPr>
            <w:tcW w:w="1134" w:type="dxa"/>
            <w:noWrap/>
            <w:hideMark/>
          </w:tcPr>
          <w:p w14:paraId="06B576B9" w14:textId="77777777" w:rsidR="009E45CB" w:rsidRPr="007A7B03" w:rsidRDefault="009E45CB" w:rsidP="00F72AD2">
            <w:pPr>
              <w:rPr>
                <w:sz w:val="20"/>
                <w:szCs w:val="20"/>
              </w:rPr>
            </w:pPr>
            <w:r w:rsidRPr="007A7B03">
              <w:rPr>
                <w:sz w:val="20"/>
                <w:szCs w:val="20"/>
              </w:rPr>
              <w:t>12 (0,5)</w:t>
            </w:r>
          </w:p>
        </w:tc>
        <w:tc>
          <w:tcPr>
            <w:tcW w:w="1134" w:type="dxa"/>
            <w:noWrap/>
            <w:hideMark/>
          </w:tcPr>
          <w:p w14:paraId="7A984270" w14:textId="77777777" w:rsidR="009E45CB" w:rsidRPr="007A7B03" w:rsidRDefault="009E45CB" w:rsidP="00F72AD2">
            <w:pPr>
              <w:rPr>
                <w:sz w:val="20"/>
                <w:szCs w:val="20"/>
              </w:rPr>
            </w:pPr>
            <w:r w:rsidRPr="007A7B03">
              <w:rPr>
                <w:sz w:val="20"/>
                <w:szCs w:val="20"/>
              </w:rPr>
              <w:t>10 (0,6)</w:t>
            </w:r>
          </w:p>
        </w:tc>
        <w:tc>
          <w:tcPr>
            <w:tcW w:w="994" w:type="dxa"/>
            <w:noWrap/>
            <w:hideMark/>
          </w:tcPr>
          <w:p w14:paraId="3E39BB79" w14:textId="77777777" w:rsidR="009E45CB" w:rsidRPr="007A7B03" w:rsidRDefault="009E45CB" w:rsidP="00F72AD2">
            <w:pPr>
              <w:rPr>
                <w:sz w:val="20"/>
                <w:szCs w:val="20"/>
              </w:rPr>
            </w:pPr>
            <w:r w:rsidRPr="007A7B03">
              <w:rPr>
                <w:sz w:val="20"/>
                <w:szCs w:val="20"/>
              </w:rPr>
              <w:t>19 (0,8)</w:t>
            </w:r>
          </w:p>
        </w:tc>
        <w:tc>
          <w:tcPr>
            <w:tcW w:w="992" w:type="dxa"/>
            <w:noWrap/>
            <w:hideMark/>
          </w:tcPr>
          <w:p w14:paraId="47D9E34E" w14:textId="77777777" w:rsidR="009E45CB" w:rsidRPr="007A7B03" w:rsidRDefault="009E45CB" w:rsidP="00F72AD2">
            <w:pPr>
              <w:rPr>
                <w:sz w:val="20"/>
                <w:szCs w:val="20"/>
              </w:rPr>
            </w:pPr>
            <w:r w:rsidRPr="007A7B03">
              <w:rPr>
                <w:sz w:val="20"/>
                <w:szCs w:val="20"/>
              </w:rPr>
              <w:t>59 (1,1)</w:t>
            </w:r>
          </w:p>
        </w:tc>
      </w:tr>
      <w:tr w:rsidR="009E45CB" w:rsidRPr="007A7B03" w14:paraId="3E25D7D5" w14:textId="77777777" w:rsidTr="00222599">
        <w:trPr>
          <w:trHeight w:val="310"/>
        </w:trPr>
        <w:tc>
          <w:tcPr>
            <w:tcW w:w="5098" w:type="dxa"/>
            <w:noWrap/>
            <w:hideMark/>
          </w:tcPr>
          <w:p w14:paraId="38F925FB" w14:textId="77777777" w:rsidR="009E45CB" w:rsidRPr="007A7B03" w:rsidRDefault="009E45CB" w:rsidP="00F72AD2">
            <w:pPr>
              <w:rPr>
                <w:sz w:val="20"/>
                <w:szCs w:val="20"/>
              </w:rPr>
            </w:pPr>
            <w:r w:rsidRPr="007A7B03">
              <w:rPr>
                <w:sz w:val="20"/>
                <w:szCs w:val="20"/>
              </w:rPr>
              <w:t>Nekaj so mi ukradli.</w:t>
            </w:r>
          </w:p>
        </w:tc>
        <w:tc>
          <w:tcPr>
            <w:tcW w:w="1134" w:type="dxa"/>
            <w:noWrap/>
            <w:hideMark/>
          </w:tcPr>
          <w:p w14:paraId="4932DD4F" w14:textId="77777777" w:rsidR="009E45CB" w:rsidRPr="007A7B03" w:rsidRDefault="009E45CB" w:rsidP="00F72AD2">
            <w:pPr>
              <w:rPr>
                <w:sz w:val="20"/>
                <w:szCs w:val="20"/>
              </w:rPr>
            </w:pPr>
            <w:r w:rsidRPr="007A7B03">
              <w:rPr>
                <w:sz w:val="20"/>
                <w:szCs w:val="20"/>
              </w:rPr>
              <w:t xml:space="preserve"> 8 (0,6)</w:t>
            </w:r>
          </w:p>
        </w:tc>
        <w:tc>
          <w:tcPr>
            <w:tcW w:w="1134" w:type="dxa"/>
            <w:noWrap/>
            <w:hideMark/>
          </w:tcPr>
          <w:p w14:paraId="3F60F258" w14:textId="77777777" w:rsidR="009E45CB" w:rsidRPr="007A7B03" w:rsidRDefault="009E45CB" w:rsidP="00F72AD2">
            <w:pPr>
              <w:rPr>
                <w:sz w:val="20"/>
                <w:szCs w:val="20"/>
              </w:rPr>
            </w:pPr>
            <w:r w:rsidRPr="007A7B03">
              <w:rPr>
                <w:sz w:val="20"/>
                <w:szCs w:val="20"/>
              </w:rPr>
              <w:t xml:space="preserve"> 6 (0,4)</w:t>
            </w:r>
          </w:p>
        </w:tc>
        <w:tc>
          <w:tcPr>
            <w:tcW w:w="994" w:type="dxa"/>
            <w:noWrap/>
            <w:hideMark/>
          </w:tcPr>
          <w:p w14:paraId="053E0139" w14:textId="77777777" w:rsidR="009E45CB" w:rsidRPr="007A7B03" w:rsidRDefault="009E45CB" w:rsidP="00F72AD2">
            <w:pPr>
              <w:rPr>
                <w:sz w:val="20"/>
                <w:szCs w:val="20"/>
              </w:rPr>
            </w:pPr>
            <w:r w:rsidRPr="007A7B03">
              <w:rPr>
                <w:sz w:val="20"/>
                <w:szCs w:val="20"/>
              </w:rPr>
              <w:t>19 (0,7)</w:t>
            </w:r>
          </w:p>
        </w:tc>
        <w:tc>
          <w:tcPr>
            <w:tcW w:w="992" w:type="dxa"/>
            <w:noWrap/>
            <w:hideMark/>
          </w:tcPr>
          <w:p w14:paraId="36C1A6B9" w14:textId="77777777" w:rsidR="009E45CB" w:rsidRPr="007A7B03" w:rsidRDefault="009E45CB" w:rsidP="00F72AD2">
            <w:pPr>
              <w:rPr>
                <w:sz w:val="20"/>
                <w:szCs w:val="20"/>
              </w:rPr>
            </w:pPr>
            <w:r w:rsidRPr="007A7B03">
              <w:rPr>
                <w:sz w:val="20"/>
                <w:szCs w:val="20"/>
              </w:rPr>
              <w:t>67 (0,9)</w:t>
            </w:r>
          </w:p>
        </w:tc>
      </w:tr>
      <w:tr w:rsidR="009E45CB" w:rsidRPr="007A7B03" w14:paraId="5CA36F6B" w14:textId="77777777" w:rsidTr="00222599">
        <w:trPr>
          <w:trHeight w:val="310"/>
        </w:trPr>
        <w:tc>
          <w:tcPr>
            <w:tcW w:w="5098" w:type="dxa"/>
            <w:noWrap/>
            <w:hideMark/>
          </w:tcPr>
          <w:p w14:paraId="4CD5CAF0" w14:textId="77777777" w:rsidR="009E45CB" w:rsidRPr="007A7B03" w:rsidRDefault="009E45CB" w:rsidP="00F72AD2">
            <w:pPr>
              <w:rPr>
                <w:sz w:val="20"/>
                <w:szCs w:val="20"/>
              </w:rPr>
            </w:pPr>
            <w:r w:rsidRPr="007A7B03">
              <w:rPr>
                <w:sz w:val="20"/>
                <w:szCs w:val="20"/>
              </w:rPr>
              <w:t>Nalašč so poškodovali kaj mojega.</w:t>
            </w:r>
          </w:p>
        </w:tc>
        <w:tc>
          <w:tcPr>
            <w:tcW w:w="1134" w:type="dxa"/>
            <w:noWrap/>
            <w:hideMark/>
          </w:tcPr>
          <w:p w14:paraId="40D73ABF" w14:textId="77777777" w:rsidR="009E45CB" w:rsidRPr="007A7B03" w:rsidRDefault="009E45CB" w:rsidP="00F72AD2">
            <w:pPr>
              <w:rPr>
                <w:sz w:val="20"/>
                <w:szCs w:val="20"/>
              </w:rPr>
            </w:pPr>
            <w:r w:rsidRPr="007A7B03">
              <w:rPr>
                <w:sz w:val="20"/>
                <w:szCs w:val="20"/>
              </w:rPr>
              <w:t xml:space="preserve"> 9 (0,6)</w:t>
            </w:r>
          </w:p>
        </w:tc>
        <w:tc>
          <w:tcPr>
            <w:tcW w:w="1134" w:type="dxa"/>
            <w:noWrap/>
            <w:hideMark/>
          </w:tcPr>
          <w:p w14:paraId="1BF577E6" w14:textId="77777777" w:rsidR="009E45CB" w:rsidRPr="007A7B03" w:rsidRDefault="009E45CB" w:rsidP="00F72AD2">
            <w:pPr>
              <w:rPr>
                <w:sz w:val="20"/>
                <w:szCs w:val="20"/>
              </w:rPr>
            </w:pPr>
            <w:r w:rsidRPr="007A7B03">
              <w:rPr>
                <w:sz w:val="20"/>
                <w:szCs w:val="20"/>
              </w:rPr>
              <w:t xml:space="preserve"> 5 (0,3)</w:t>
            </w:r>
          </w:p>
        </w:tc>
        <w:tc>
          <w:tcPr>
            <w:tcW w:w="994" w:type="dxa"/>
            <w:noWrap/>
            <w:hideMark/>
          </w:tcPr>
          <w:p w14:paraId="3305631C" w14:textId="77777777" w:rsidR="009E45CB" w:rsidRPr="007A7B03" w:rsidRDefault="009E45CB" w:rsidP="00F72AD2">
            <w:pPr>
              <w:rPr>
                <w:sz w:val="20"/>
                <w:szCs w:val="20"/>
              </w:rPr>
            </w:pPr>
            <w:r w:rsidRPr="007A7B03">
              <w:rPr>
                <w:sz w:val="20"/>
                <w:szCs w:val="20"/>
              </w:rPr>
              <w:t>17 (0,7)</w:t>
            </w:r>
          </w:p>
        </w:tc>
        <w:tc>
          <w:tcPr>
            <w:tcW w:w="992" w:type="dxa"/>
            <w:noWrap/>
            <w:hideMark/>
          </w:tcPr>
          <w:p w14:paraId="70B7F79F" w14:textId="77777777" w:rsidR="009E45CB" w:rsidRPr="007A7B03" w:rsidRDefault="009E45CB" w:rsidP="00F72AD2">
            <w:pPr>
              <w:rPr>
                <w:sz w:val="20"/>
                <w:szCs w:val="20"/>
              </w:rPr>
            </w:pPr>
            <w:r w:rsidRPr="007A7B03">
              <w:rPr>
                <w:sz w:val="20"/>
                <w:szCs w:val="20"/>
              </w:rPr>
              <w:t>69 (0,9)</w:t>
            </w:r>
          </w:p>
        </w:tc>
      </w:tr>
      <w:tr w:rsidR="009E45CB" w:rsidRPr="007A7B03" w14:paraId="4C3A9D0B" w14:textId="77777777" w:rsidTr="00222599">
        <w:trPr>
          <w:trHeight w:val="310"/>
        </w:trPr>
        <w:tc>
          <w:tcPr>
            <w:tcW w:w="5098" w:type="dxa"/>
            <w:noWrap/>
            <w:hideMark/>
          </w:tcPr>
          <w:p w14:paraId="04F64201" w14:textId="77777777" w:rsidR="009E45CB" w:rsidRPr="007A7B03" w:rsidRDefault="009E45CB" w:rsidP="00F72AD2">
            <w:pPr>
              <w:rPr>
                <w:sz w:val="20"/>
                <w:szCs w:val="20"/>
              </w:rPr>
            </w:pPr>
            <w:r w:rsidRPr="007A7B03">
              <w:rPr>
                <w:sz w:val="20"/>
                <w:szCs w:val="20"/>
              </w:rPr>
              <w:t>Udarili ali ranili so me (npr. porinili, brcnili so me).</w:t>
            </w:r>
          </w:p>
        </w:tc>
        <w:tc>
          <w:tcPr>
            <w:tcW w:w="1134" w:type="dxa"/>
            <w:noWrap/>
            <w:hideMark/>
          </w:tcPr>
          <w:p w14:paraId="764EC394" w14:textId="77777777" w:rsidR="009E45CB" w:rsidRPr="007A7B03" w:rsidRDefault="009E45CB" w:rsidP="00F72AD2">
            <w:pPr>
              <w:rPr>
                <w:sz w:val="20"/>
                <w:szCs w:val="20"/>
              </w:rPr>
            </w:pPr>
            <w:r w:rsidRPr="007A7B03">
              <w:rPr>
                <w:sz w:val="20"/>
                <w:szCs w:val="20"/>
              </w:rPr>
              <w:t>14 (0,6)</w:t>
            </w:r>
          </w:p>
        </w:tc>
        <w:tc>
          <w:tcPr>
            <w:tcW w:w="1134" w:type="dxa"/>
            <w:noWrap/>
            <w:hideMark/>
          </w:tcPr>
          <w:p w14:paraId="46B1ECD7" w14:textId="77777777" w:rsidR="009E45CB" w:rsidRPr="007A7B03" w:rsidRDefault="009E45CB" w:rsidP="00F72AD2">
            <w:pPr>
              <w:rPr>
                <w:sz w:val="20"/>
                <w:szCs w:val="20"/>
              </w:rPr>
            </w:pPr>
            <w:r w:rsidRPr="007A7B03">
              <w:rPr>
                <w:sz w:val="20"/>
                <w:szCs w:val="20"/>
              </w:rPr>
              <w:t>11 (0,4)</w:t>
            </w:r>
          </w:p>
        </w:tc>
        <w:tc>
          <w:tcPr>
            <w:tcW w:w="994" w:type="dxa"/>
            <w:noWrap/>
            <w:hideMark/>
          </w:tcPr>
          <w:p w14:paraId="32D7D97C" w14:textId="77777777" w:rsidR="009E45CB" w:rsidRPr="007A7B03" w:rsidRDefault="009E45CB" w:rsidP="00F72AD2">
            <w:pPr>
              <w:rPr>
                <w:sz w:val="20"/>
                <w:szCs w:val="20"/>
              </w:rPr>
            </w:pPr>
            <w:r w:rsidRPr="007A7B03">
              <w:rPr>
                <w:sz w:val="20"/>
                <w:szCs w:val="20"/>
              </w:rPr>
              <w:t>26 (0,9)</w:t>
            </w:r>
          </w:p>
        </w:tc>
        <w:tc>
          <w:tcPr>
            <w:tcW w:w="992" w:type="dxa"/>
            <w:noWrap/>
            <w:hideMark/>
          </w:tcPr>
          <w:p w14:paraId="1DBF3AAC" w14:textId="77777777" w:rsidR="009E45CB" w:rsidRPr="007A7B03" w:rsidRDefault="009E45CB" w:rsidP="00F72AD2">
            <w:pPr>
              <w:rPr>
                <w:sz w:val="20"/>
                <w:szCs w:val="20"/>
              </w:rPr>
            </w:pPr>
            <w:r w:rsidRPr="007A7B03">
              <w:rPr>
                <w:sz w:val="20"/>
                <w:szCs w:val="20"/>
              </w:rPr>
              <w:t>48 (1,0)</w:t>
            </w:r>
          </w:p>
        </w:tc>
      </w:tr>
      <w:tr w:rsidR="009E45CB" w:rsidRPr="007A7B03" w14:paraId="0FD806B1" w14:textId="77777777" w:rsidTr="00222599">
        <w:trPr>
          <w:trHeight w:val="310"/>
        </w:trPr>
        <w:tc>
          <w:tcPr>
            <w:tcW w:w="5098" w:type="dxa"/>
            <w:noWrap/>
            <w:hideMark/>
          </w:tcPr>
          <w:p w14:paraId="7FA7908D" w14:textId="77777777" w:rsidR="009E45CB" w:rsidRPr="007A7B03" w:rsidRDefault="009E45CB" w:rsidP="00F72AD2">
            <w:pPr>
              <w:rPr>
                <w:sz w:val="20"/>
                <w:szCs w:val="20"/>
              </w:rPr>
            </w:pPr>
            <w:r w:rsidRPr="007A7B03">
              <w:rPr>
                <w:sz w:val="20"/>
                <w:szCs w:val="20"/>
              </w:rPr>
              <w:t>Prisilili so me početi stvari, ki jih nisem želel</w:t>
            </w:r>
            <w:r w:rsidR="00E31A93" w:rsidRPr="007A7B03">
              <w:rPr>
                <w:sz w:val="20"/>
                <w:szCs w:val="20"/>
              </w:rPr>
              <w:t>/-</w:t>
            </w:r>
            <w:r w:rsidRPr="007A7B03">
              <w:rPr>
                <w:sz w:val="20"/>
                <w:szCs w:val="20"/>
              </w:rPr>
              <w:t>a narediti.</w:t>
            </w:r>
          </w:p>
        </w:tc>
        <w:tc>
          <w:tcPr>
            <w:tcW w:w="1134" w:type="dxa"/>
            <w:noWrap/>
            <w:hideMark/>
          </w:tcPr>
          <w:p w14:paraId="5A615E18" w14:textId="77777777" w:rsidR="009E45CB" w:rsidRPr="007A7B03" w:rsidRDefault="009E45CB" w:rsidP="00F72AD2">
            <w:pPr>
              <w:rPr>
                <w:sz w:val="20"/>
                <w:szCs w:val="20"/>
              </w:rPr>
            </w:pPr>
            <w:r w:rsidRPr="007A7B03">
              <w:rPr>
                <w:sz w:val="20"/>
                <w:szCs w:val="20"/>
              </w:rPr>
              <w:t xml:space="preserve"> 6 (0,5)</w:t>
            </w:r>
          </w:p>
        </w:tc>
        <w:tc>
          <w:tcPr>
            <w:tcW w:w="1134" w:type="dxa"/>
            <w:noWrap/>
            <w:hideMark/>
          </w:tcPr>
          <w:p w14:paraId="646395B5" w14:textId="77777777" w:rsidR="009E45CB" w:rsidRPr="007A7B03" w:rsidRDefault="009E45CB" w:rsidP="00F72AD2">
            <w:pPr>
              <w:rPr>
                <w:sz w:val="20"/>
                <w:szCs w:val="20"/>
              </w:rPr>
            </w:pPr>
            <w:r w:rsidRPr="007A7B03">
              <w:rPr>
                <w:sz w:val="20"/>
                <w:szCs w:val="20"/>
              </w:rPr>
              <w:t xml:space="preserve"> 6 (0,4)</w:t>
            </w:r>
          </w:p>
        </w:tc>
        <w:tc>
          <w:tcPr>
            <w:tcW w:w="994" w:type="dxa"/>
            <w:noWrap/>
            <w:hideMark/>
          </w:tcPr>
          <w:p w14:paraId="5B733C89" w14:textId="77777777" w:rsidR="009E45CB" w:rsidRPr="007A7B03" w:rsidRDefault="009E45CB" w:rsidP="00F72AD2">
            <w:pPr>
              <w:rPr>
                <w:sz w:val="20"/>
                <w:szCs w:val="20"/>
              </w:rPr>
            </w:pPr>
            <w:r w:rsidRPr="007A7B03">
              <w:rPr>
                <w:sz w:val="20"/>
                <w:szCs w:val="20"/>
              </w:rPr>
              <w:t>12 (0,6)</w:t>
            </w:r>
          </w:p>
        </w:tc>
        <w:tc>
          <w:tcPr>
            <w:tcW w:w="992" w:type="dxa"/>
            <w:noWrap/>
            <w:hideMark/>
          </w:tcPr>
          <w:p w14:paraId="6EE6304E" w14:textId="77777777" w:rsidR="009E45CB" w:rsidRPr="007A7B03" w:rsidRDefault="009E45CB" w:rsidP="00F72AD2">
            <w:pPr>
              <w:rPr>
                <w:sz w:val="20"/>
                <w:szCs w:val="20"/>
              </w:rPr>
            </w:pPr>
            <w:r w:rsidRPr="007A7B03">
              <w:rPr>
                <w:sz w:val="20"/>
                <w:szCs w:val="20"/>
              </w:rPr>
              <w:t>76 (0,8)</w:t>
            </w:r>
          </w:p>
        </w:tc>
      </w:tr>
      <w:tr w:rsidR="009E45CB" w:rsidRPr="007A7B03" w14:paraId="6A7E86A7" w14:textId="77777777" w:rsidTr="00222599">
        <w:trPr>
          <w:trHeight w:val="310"/>
        </w:trPr>
        <w:tc>
          <w:tcPr>
            <w:tcW w:w="5098" w:type="dxa"/>
            <w:noWrap/>
            <w:hideMark/>
          </w:tcPr>
          <w:p w14:paraId="6D856C92" w14:textId="77777777" w:rsidR="009E45CB" w:rsidRPr="007A7B03" w:rsidRDefault="009E45CB" w:rsidP="00F72AD2">
            <w:pPr>
              <w:rPr>
                <w:sz w:val="20"/>
                <w:szCs w:val="20"/>
              </w:rPr>
            </w:pPr>
            <w:r w:rsidRPr="007A7B03">
              <w:rPr>
                <w:sz w:val="20"/>
                <w:szCs w:val="20"/>
              </w:rPr>
              <w:t>Preko spleta so mi pošiljali grda ali škodljiva sporočila.</w:t>
            </w:r>
          </w:p>
        </w:tc>
        <w:tc>
          <w:tcPr>
            <w:tcW w:w="1134" w:type="dxa"/>
            <w:noWrap/>
            <w:hideMark/>
          </w:tcPr>
          <w:p w14:paraId="32A306B0" w14:textId="77777777" w:rsidR="009E45CB" w:rsidRPr="007A7B03" w:rsidRDefault="009E45CB" w:rsidP="00F72AD2">
            <w:pPr>
              <w:rPr>
                <w:sz w:val="20"/>
                <w:szCs w:val="20"/>
              </w:rPr>
            </w:pPr>
            <w:r w:rsidRPr="007A7B03">
              <w:rPr>
                <w:sz w:val="20"/>
                <w:szCs w:val="20"/>
              </w:rPr>
              <w:t xml:space="preserve"> 4 (0,4)</w:t>
            </w:r>
          </w:p>
        </w:tc>
        <w:tc>
          <w:tcPr>
            <w:tcW w:w="1134" w:type="dxa"/>
            <w:noWrap/>
            <w:hideMark/>
          </w:tcPr>
          <w:p w14:paraId="33446C46" w14:textId="77777777" w:rsidR="009E45CB" w:rsidRPr="007A7B03" w:rsidRDefault="009E45CB" w:rsidP="00F72AD2">
            <w:pPr>
              <w:rPr>
                <w:sz w:val="20"/>
                <w:szCs w:val="20"/>
              </w:rPr>
            </w:pPr>
            <w:r w:rsidRPr="007A7B03">
              <w:rPr>
                <w:sz w:val="20"/>
                <w:szCs w:val="20"/>
              </w:rPr>
              <w:t xml:space="preserve"> 5 (0,4)</w:t>
            </w:r>
          </w:p>
        </w:tc>
        <w:tc>
          <w:tcPr>
            <w:tcW w:w="994" w:type="dxa"/>
            <w:noWrap/>
            <w:hideMark/>
          </w:tcPr>
          <w:p w14:paraId="62FA8734" w14:textId="77777777" w:rsidR="009E45CB" w:rsidRPr="007A7B03" w:rsidRDefault="009E45CB" w:rsidP="00F72AD2">
            <w:pPr>
              <w:rPr>
                <w:sz w:val="20"/>
                <w:szCs w:val="20"/>
              </w:rPr>
            </w:pPr>
            <w:r w:rsidRPr="007A7B03">
              <w:rPr>
                <w:sz w:val="20"/>
                <w:szCs w:val="20"/>
              </w:rPr>
              <w:t xml:space="preserve"> 8 (0,5)</w:t>
            </w:r>
          </w:p>
        </w:tc>
        <w:tc>
          <w:tcPr>
            <w:tcW w:w="992" w:type="dxa"/>
            <w:noWrap/>
            <w:hideMark/>
          </w:tcPr>
          <w:p w14:paraId="4021C48F" w14:textId="77777777" w:rsidR="009E45CB" w:rsidRPr="007A7B03" w:rsidRDefault="009E45CB" w:rsidP="00F72AD2">
            <w:pPr>
              <w:rPr>
                <w:sz w:val="20"/>
                <w:szCs w:val="20"/>
              </w:rPr>
            </w:pPr>
            <w:r w:rsidRPr="007A7B03">
              <w:rPr>
                <w:sz w:val="20"/>
                <w:szCs w:val="20"/>
              </w:rPr>
              <w:t>83 (0,8)</w:t>
            </w:r>
          </w:p>
        </w:tc>
      </w:tr>
      <w:tr w:rsidR="009E45CB" w:rsidRPr="007A7B03" w14:paraId="5574155E" w14:textId="77777777" w:rsidTr="00222599">
        <w:trPr>
          <w:trHeight w:val="310"/>
        </w:trPr>
        <w:tc>
          <w:tcPr>
            <w:tcW w:w="5098" w:type="dxa"/>
            <w:noWrap/>
            <w:hideMark/>
          </w:tcPr>
          <w:p w14:paraId="1300934E" w14:textId="77777777" w:rsidR="009E45CB" w:rsidRPr="007A7B03" w:rsidRDefault="009E45CB" w:rsidP="00F72AD2">
            <w:pPr>
              <w:rPr>
                <w:sz w:val="20"/>
                <w:szCs w:val="20"/>
              </w:rPr>
            </w:pPr>
            <w:r w:rsidRPr="007A7B03">
              <w:rPr>
                <w:sz w:val="20"/>
                <w:szCs w:val="20"/>
              </w:rPr>
              <w:t>Preko spleta so o meni širili grde ali škodljive informacije.</w:t>
            </w:r>
          </w:p>
        </w:tc>
        <w:tc>
          <w:tcPr>
            <w:tcW w:w="1134" w:type="dxa"/>
            <w:noWrap/>
            <w:hideMark/>
          </w:tcPr>
          <w:p w14:paraId="181FDAA0" w14:textId="77777777" w:rsidR="009E45CB" w:rsidRPr="007A7B03" w:rsidRDefault="009E45CB" w:rsidP="00F72AD2">
            <w:pPr>
              <w:rPr>
                <w:sz w:val="20"/>
                <w:szCs w:val="20"/>
              </w:rPr>
            </w:pPr>
            <w:r w:rsidRPr="007A7B03">
              <w:rPr>
                <w:sz w:val="20"/>
                <w:szCs w:val="20"/>
              </w:rPr>
              <w:t xml:space="preserve"> 3 (0,3)</w:t>
            </w:r>
          </w:p>
        </w:tc>
        <w:tc>
          <w:tcPr>
            <w:tcW w:w="1134" w:type="dxa"/>
            <w:noWrap/>
            <w:hideMark/>
          </w:tcPr>
          <w:p w14:paraId="1912E3F3" w14:textId="77777777" w:rsidR="009E45CB" w:rsidRPr="007A7B03" w:rsidRDefault="009E45CB" w:rsidP="00F72AD2">
            <w:pPr>
              <w:rPr>
                <w:sz w:val="20"/>
                <w:szCs w:val="20"/>
              </w:rPr>
            </w:pPr>
            <w:r w:rsidRPr="007A7B03">
              <w:rPr>
                <w:sz w:val="20"/>
                <w:szCs w:val="20"/>
              </w:rPr>
              <w:t xml:space="preserve"> 3 (0,3)</w:t>
            </w:r>
          </w:p>
        </w:tc>
        <w:tc>
          <w:tcPr>
            <w:tcW w:w="994" w:type="dxa"/>
            <w:noWrap/>
            <w:hideMark/>
          </w:tcPr>
          <w:p w14:paraId="04BFA11F" w14:textId="77777777" w:rsidR="009E45CB" w:rsidRPr="007A7B03" w:rsidRDefault="009E45CB" w:rsidP="00F72AD2">
            <w:pPr>
              <w:rPr>
                <w:sz w:val="20"/>
                <w:szCs w:val="20"/>
              </w:rPr>
            </w:pPr>
            <w:r w:rsidRPr="007A7B03">
              <w:rPr>
                <w:sz w:val="20"/>
                <w:szCs w:val="20"/>
              </w:rPr>
              <w:t xml:space="preserve"> 4 (0,4)</w:t>
            </w:r>
          </w:p>
        </w:tc>
        <w:tc>
          <w:tcPr>
            <w:tcW w:w="992" w:type="dxa"/>
            <w:noWrap/>
            <w:hideMark/>
          </w:tcPr>
          <w:p w14:paraId="4694CC72" w14:textId="77777777" w:rsidR="009E45CB" w:rsidRPr="007A7B03" w:rsidRDefault="009E45CB" w:rsidP="00F72AD2">
            <w:pPr>
              <w:rPr>
                <w:sz w:val="20"/>
                <w:szCs w:val="20"/>
              </w:rPr>
            </w:pPr>
            <w:r w:rsidRPr="007A7B03">
              <w:rPr>
                <w:sz w:val="20"/>
                <w:szCs w:val="20"/>
              </w:rPr>
              <w:t>90 (0,7)</w:t>
            </w:r>
          </w:p>
        </w:tc>
      </w:tr>
      <w:tr w:rsidR="009E45CB" w:rsidRPr="007A7B03" w14:paraId="4849B056" w14:textId="77777777" w:rsidTr="00222599">
        <w:trPr>
          <w:trHeight w:val="310"/>
        </w:trPr>
        <w:tc>
          <w:tcPr>
            <w:tcW w:w="5098" w:type="dxa"/>
            <w:noWrap/>
            <w:hideMark/>
          </w:tcPr>
          <w:p w14:paraId="61649CD3" w14:textId="77777777" w:rsidR="009E45CB" w:rsidRPr="007A7B03" w:rsidRDefault="009E45CB" w:rsidP="00F72AD2">
            <w:pPr>
              <w:rPr>
                <w:sz w:val="20"/>
                <w:szCs w:val="20"/>
              </w:rPr>
            </w:pPr>
            <w:r w:rsidRPr="007A7B03">
              <w:rPr>
                <w:sz w:val="20"/>
                <w:szCs w:val="20"/>
              </w:rPr>
              <w:t>Grozili so mi.</w:t>
            </w:r>
          </w:p>
        </w:tc>
        <w:tc>
          <w:tcPr>
            <w:tcW w:w="1134" w:type="dxa"/>
            <w:noWrap/>
            <w:hideMark/>
          </w:tcPr>
          <w:p w14:paraId="6BE13725" w14:textId="77777777" w:rsidR="009E45CB" w:rsidRPr="007A7B03" w:rsidRDefault="009E45CB" w:rsidP="00F72AD2">
            <w:pPr>
              <w:rPr>
                <w:sz w:val="20"/>
                <w:szCs w:val="20"/>
              </w:rPr>
            </w:pPr>
            <w:r w:rsidRPr="007A7B03">
              <w:rPr>
                <w:sz w:val="20"/>
                <w:szCs w:val="20"/>
              </w:rPr>
              <w:t xml:space="preserve"> 6 (0,5)</w:t>
            </w:r>
          </w:p>
        </w:tc>
        <w:tc>
          <w:tcPr>
            <w:tcW w:w="1134" w:type="dxa"/>
            <w:noWrap/>
            <w:hideMark/>
          </w:tcPr>
          <w:p w14:paraId="3A0D873E" w14:textId="77777777" w:rsidR="009E45CB" w:rsidRPr="007A7B03" w:rsidRDefault="009E45CB" w:rsidP="00F72AD2">
            <w:pPr>
              <w:rPr>
                <w:sz w:val="20"/>
                <w:szCs w:val="20"/>
              </w:rPr>
            </w:pPr>
            <w:r w:rsidRPr="007A7B03">
              <w:rPr>
                <w:sz w:val="20"/>
                <w:szCs w:val="20"/>
              </w:rPr>
              <w:t xml:space="preserve"> 4 (0,4)</w:t>
            </w:r>
          </w:p>
        </w:tc>
        <w:tc>
          <w:tcPr>
            <w:tcW w:w="994" w:type="dxa"/>
            <w:noWrap/>
            <w:hideMark/>
          </w:tcPr>
          <w:p w14:paraId="340A38A8" w14:textId="77777777" w:rsidR="009E45CB" w:rsidRPr="007A7B03" w:rsidRDefault="009E45CB" w:rsidP="00F72AD2">
            <w:pPr>
              <w:rPr>
                <w:sz w:val="20"/>
                <w:szCs w:val="20"/>
              </w:rPr>
            </w:pPr>
            <w:r w:rsidRPr="007A7B03">
              <w:rPr>
                <w:sz w:val="20"/>
                <w:szCs w:val="20"/>
              </w:rPr>
              <w:t>12 (0,7)</w:t>
            </w:r>
          </w:p>
        </w:tc>
        <w:tc>
          <w:tcPr>
            <w:tcW w:w="992" w:type="dxa"/>
            <w:noWrap/>
            <w:hideMark/>
          </w:tcPr>
          <w:p w14:paraId="072C446D" w14:textId="77777777" w:rsidR="009E45CB" w:rsidRPr="007A7B03" w:rsidRDefault="009E45CB" w:rsidP="00F72AD2">
            <w:pPr>
              <w:rPr>
                <w:sz w:val="20"/>
                <w:szCs w:val="20"/>
              </w:rPr>
            </w:pPr>
            <w:r w:rsidRPr="007A7B03">
              <w:rPr>
                <w:sz w:val="20"/>
                <w:szCs w:val="20"/>
              </w:rPr>
              <w:t>78 (0,9)</w:t>
            </w:r>
          </w:p>
        </w:tc>
      </w:tr>
    </w:tbl>
    <w:p w14:paraId="0B066AE4" w14:textId="06AD4538" w:rsidR="00774B2E" w:rsidRPr="00760B42" w:rsidRDefault="00774B2E" w:rsidP="00A956AE">
      <w:pPr>
        <w:rPr>
          <w:sz w:val="18"/>
          <w:szCs w:val="18"/>
        </w:rPr>
      </w:pPr>
      <w:r w:rsidRPr="00760B42">
        <w:rPr>
          <w:sz w:val="18"/>
          <w:szCs w:val="18"/>
        </w:rPr>
        <w:t>Opomba: Zaradi zaokroževanja na cela števila se nekatere vsote zdijo nekonsistentne.</w:t>
      </w:r>
    </w:p>
    <w:p w14:paraId="4DFEA98F" w14:textId="5F54B603" w:rsidR="00CA6B45" w:rsidRPr="00760B42" w:rsidRDefault="00CA6B45" w:rsidP="00A437E8">
      <w:pPr>
        <w:jc w:val="both"/>
      </w:pPr>
      <w:r w:rsidRPr="007A7B03">
        <w:rPr>
          <w:b/>
        </w:rPr>
        <w:t>Učenci, ki so manj pogosto utrujeni</w:t>
      </w:r>
      <w:r w:rsidR="00E31A93" w:rsidRPr="007A7B03">
        <w:rPr>
          <w:b/>
        </w:rPr>
        <w:t>,</w:t>
      </w:r>
      <w:r w:rsidRPr="007A7B03">
        <w:rPr>
          <w:b/>
        </w:rPr>
        <w:t xml:space="preserve"> imajo višje dosežke, enako je z učenci, ki so manj pogosto lačni, ko pridejo v šolo</w:t>
      </w:r>
      <w:r w:rsidRPr="007A7B03">
        <w:t xml:space="preserve"> (povezava je statistično značilna v obeh primerih).</w:t>
      </w:r>
      <w:r w:rsidR="004E04F7" w:rsidRPr="007A7B03">
        <w:t xml:space="preserve"> </w:t>
      </w:r>
      <w:r w:rsidR="00A956AE" w:rsidRPr="007A7B03">
        <w:rPr>
          <w:b/>
        </w:rPr>
        <w:t>Več kot četrtina četrtošolcev v Sloveniji se zjutraj, ko pridejo v šolo, počuti utrujene ali lačn</w:t>
      </w:r>
      <w:r w:rsidR="00E31A93" w:rsidRPr="007A7B03">
        <w:rPr>
          <w:b/>
        </w:rPr>
        <w:t>e</w:t>
      </w:r>
      <w:r w:rsidR="00A956AE" w:rsidRPr="007A7B03">
        <w:rPr>
          <w:b/>
        </w:rPr>
        <w:t>, in to prav vsak dan pouka</w:t>
      </w:r>
      <w:r w:rsidR="00A956AE" w:rsidRPr="007A7B03">
        <w:t xml:space="preserve">. Vsak dan ali skoraj vsak dan se počuti utrujene okoli 46 % učencev, in lačnih okoli 40 %. </w:t>
      </w:r>
      <w:r w:rsidR="00A956AE" w:rsidRPr="007A7B03">
        <w:rPr>
          <w:b/>
        </w:rPr>
        <w:t>Le 9 % učencev zjutraj, ko pridejo v šolo</w:t>
      </w:r>
      <w:r w:rsidR="00E31A93" w:rsidRPr="007A7B03">
        <w:rPr>
          <w:b/>
        </w:rPr>
        <w:t>,</w:t>
      </w:r>
      <w:r w:rsidR="00A956AE" w:rsidRPr="007A7B03">
        <w:rPr>
          <w:b/>
        </w:rPr>
        <w:t xml:space="preserve"> </w:t>
      </w:r>
      <w:r w:rsidR="007212E6" w:rsidRPr="007A7B03">
        <w:rPr>
          <w:b/>
        </w:rPr>
        <w:t xml:space="preserve">ni </w:t>
      </w:r>
      <w:r w:rsidR="00A956AE" w:rsidRPr="007A7B03">
        <w:rPr>
          <w:b/>
        </w:rPr>
        <w:t xml:space="preserve">nikoli utrujenih, in le 23 % jih </w:t>
      </w:r>
      <w:r w:rsidR="00E31A93" w:rsidRPr="007A7B03">
        <w:rPr>
          <w:b/>
        </w:rPr>
        <w:t xml:space="preserve">ni </w:t>
      </w:r>
      <w:r w:rsidR="00A956AE" w:rsidRPr="007A7B03">
        <w:rPr>
          <w:b/>
        </w:rPr>
        <w:t>nikoli lačnih.</w:t>
      </w:r>
      <w:r w:rsidR="00A956AE" w:rsidRPr="007A7B03">
        <w:t xml:space="preserve"> Če primerjamo te podatke z mednarodnimi, </w:t>
      </w:r>
      <w:r w:rsidR="00E31A93" w:rsidRPr="007A7B03">
        <w:t xml:space="preserve">lahko rečemo, da </w:t>
      </w:r>
      <w:r w:rsidR="00A956AE" w:rsidRPr="007A7B03">
        <w:t>je nekaj več odstotnih točk naših učencev utrujenih ali lačnih vsak dan ali skoraj vsak dan, kot to velja za mednarodno povprečje. In kdo so utrujeni in lačni učenci?</w:t>
      </w:r>
      <w:r w:rsidR="007212E6" w:rsidRPr="007A7B03">
        <w:t xml:space="preserve"> Je to povezano z njihovim SES?</w:t>
      </w:r>
      <w:r w:rsidR="00577166" w:rsidRPr="007A7B03">
        <w:t xml:space="preserve"> </w:t>
      </w:r>
      <w:r w:rsidR="00C862F1" w:rsidRPr="007A7B03">
        <w:rPr>
          <w:b/>
        </w:rPr>
        <w:t>Učenci, ki so utrujeni/lačni, prihajajo iz skupin</w:t>
      </w:r>
      <w:r w:rsidR="00E31A93" w:rsidRPr="007A7B03">
        <w:rPr>
          <w:b/>
        </w:rPr>
        <w:t xml:space="preserve"> z različnimi SES</w:t>
      </w:r>
      <w:r w:rsidR="00C862F1" w:rsidRPr="007A7B03">
        <w:rPr>
          <w:b/>
        </w:rPr>
        <w:t>, a</w:t>
      </w:r>
      <w:r w:rsidR="008C4773" w:rsidRPr="007A7B03">
        <w:rPr>
          <w:b/>
        </w:rPr>
        <w:t xml:space="preserve"> </w:t>
      </w:r>
      <w:r w:rsidR="00C862F1" w:rsidRPr="007A7B03">
        <w:rPr>
          <w:b/>
        </w:rPr>
        <w:t>učenci</w:t>
      </w:r>
      <w:r w:rsidR="008C4773" w:rsidRPr="007A7B03">
        <w:rPr>
          <w:b/>
        </w:rPr>
        <w:t xml:space="preserve"> z nižjim SES </w:t>
      </w:r>
      <w:r w:rsidR="00C862F1" w:rsidRPr="007A7B03">
        <w:rPr>
          <w:b/>
        </w:rPr>
        <w:t>prihajajo pogosteje utrujeni/lačni.</w:t>
      </w:r>
      <w:r w:rsidR="008C4773" w:rsidRPr="007A7B03">
        <w:rPr>
          <w:b/>
        </w:rPr>
        <w:t xml:space="preserve"> </w:t>
      </w:r>
    </w:p>
    <w:p w14:paraId="3DBBB661" w14:textId="77777777" w:rsidR="00523CFD" w:rsidRPr="007A7B03" w:rsidRDefault="00523CFD" w:rsidP="00A437E8">
      <w:pPr>
        <w:jc w:val="both"/>
      </w:pPr>
      <w:r w:rsidRPr="007A7B03">
        <w:rPr>
          <w:b/>
        </w:rPr>
        <w:t>Pogled naprej</w:t>
      </w:r>
    </w:p>
    <w:p w14:paraId="65508280" w14:textId="7F706D8B" w:rsidR="00523CFD" w:rsidRPr="007A7B03" w:rsidRDefault="001A2DA0" w:rsidP="00A437E8">
      <w:pPr>
        <w:jc w:val="both"/>
      </w:pPr>
      <w:r w:rsidRPr="007A7B03">
        <w:t xml:space="preserve">Slovenija je v tem trenutku že pristopila k sodelovanju v naslednjem zajemu podatkov, in sicer PIRLS 2026. </w:t>
      </w:r>
      <w:r w:rsidR="00C55BE8" w:rsidRPr="007A7B03">
        <w:t xml:space="preserve">Trenutno se je začelo delo </w:t>
      </w:r>
      <w:r w:rsidR="00E31A93" w:rsidRPr="007A7B03">
        <w:t>v</w:t>
      </w:r>
      <w:r w:rsidR="00C55BE8" w:rsidRPr="007A7B03">
        <w:t xml:space="preserve"> raziskovalnem okviru ter </w:t>
      </w:r>
      <w:r w:rsidR="00E31A93" w:rsidRPr="007A7B03">
        <w:t xml:space="preserve">pri </w:t>
      </w:r>
      <w:r w:rsidR="005D71ED" w:rsidRPr="007A7B03">
        <w:t xml:space="preserve">razvoju </w:t>
      </w:r>
      <w:r w:rsidR="00C55BE8" w:rsidRPr="007A7B03">
        <w:t xml:space="preserve">in pripravi novih besedil. </w:t>
      </w:r>
    </w:p>
    <w:p w14:paraId="5CAB4B7B" w14:textId="17277232" w:rsidR="00523CFD" w:rsidRPr="007A7B03" w:rsidRDefault="00C55BE8" w:rsidP="00A437E8">
      <w:pPr>
        <w:jc w:val="both"/>
        <w:rPr>
          <w:b/>
        </w:rPr>
      </w:pPr>
      <w:r w:rsidRPr="007A7B03">
        <w:t xml:space="preserve">Prav tako bomo na Pedagoškem inštitutu zasnovali serijo sekundarnih analiz, ki bodo skušale orisati globlji vpogled v to, kaj ti rezultati dejansko pomenijo za Slovenijo. Vse to bo omogočalo boljše usmerjanje pedagoške prakse na področju bralne pismenosti, hkrati pa političnim odločevalcem na področju vzgoje in izobraževanja ponudilo </w:t>
      </w:r>
      <w:r w:rsidR="00835D8A" w:rsidRPr="007A7B03">
        <w:t>podatke, na podlagi katerih bodo lahko zasnovali ustrezne politike.</w:t>
      </w:r>
      <w:r w:rsidR="00E31A93" w:rsidRPr="007A7B03">
        <w:t xml:space="preserve"> </w:t>
      </w:r>
    </w:p>
    <w:sectPr w:rsidR="00523CFD" w:rsidRPr="007A7B03" w:rsidSect="0028266C">
      <w:pgSz w:w="11906" w:h="16838"/>
      <w:pgMar w:top="1440"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0E6B" w14:textId="77777777" w:rsidR="004C3133" w:rsidRDefault="004C3133" w:rsidP="00E26953">
      <w:pPr>
        <w:spacing w:after="0" w:line="240" w:lineRule="auto"/>
      </w:pPr>
      <w:r>
        <w:separator/>
      </w:r>
    </w:p>
  </w:endnote>
  <w:endnote w:type="continuationSeparator" w:id="0">
    <w:p w14:paraId="1700B12D" w14:textId="77777777" w:rsidR="004C3133" w:rsidRDefault="004C3133" w:rsidP="00E2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1B44" w14:textId="77777777" w:rsidR="004C3133" w:rsidRDefault="004C3133" w:rsidP="00E26953">
      <w:pPr>
        <w:spacing w:after="0" w:line="240" w:lineRule="auto"/>
      </w:pPr>
      <w:r>
        <w:separator/>
      </w:r>
    </w:p>
  </w:footnote>
  <w:footnote w:type="continuationSeparator" w:id="0">
    <w:p w14:paraId="74A5FB92" w14:textId="77777777" w:rsidR="004C3133" w:rsidRDefault="004C3133" w:rsidP="00E26953">
      <w:pPr>
        <w:spacing w:after="0" w:line="240" w:lineRule="auto"/>
      </w:pPr>
      <w:r>
        <w:continuationSeparator/>
      </w:r>
    </w:p>
  </w:footnote>
  <w:footnote w:id="1">
    <w:p w14:paraId="21770DA9" w14:textId="692C4DE0" w:rsidR="00E26953" w:rsidRPr="00746966" w:rsidRDefault="00E26953">
      <w:pPr>
        <w:pStyle w:val="FootnoteText"/>
        <w:rPr>
          <w:sz w:val="18"/>
          <w:szCs w:val="18"/>
        </w:rPr>
      </w:pPr>
      <w:r w:rsidRPr="00746966">
        <w:rPr>
          <w:rStyle w:val="FootnoteReference"/>
          <w:sz w:val="18"/>
          <w:szCs w:val="18"/>
        </w:rPr>
        <w:footnoteRef/>
      </w:r>
      <w:r w:rsidRPr="00746966">
        <w:rPr>
          <w:sz w:val="18"/>
          <w:szCs w:val="18"/>
        </w:rPr>
        <w:t xml:space="preserve"> *Gre za države, ki so četrtošolce testirale par mesecev kasneje kot preostale države</w:t>
      </w:r>
      <w:r w:rsidR="00E31A93" w:rsidRPr="00746966">
        <w:rPr>
          <w:sz w:val="18"/>
          <w:szCs w:val="18"/>
        </w:rPr>
        <w:t>;</w:t>
      </w:r>
      <w:r w:rsidRPr="00746966">
        <w:rPr>
          <w:sz w:val="18"/>
          <w:szCs w:val="18"/>
        </w:rPr>
        <w:t xml:space="preserve"> (5) Norveška je sodelovala s petim razredom. </w:t>
      </w:r>
    </w:p>
  </w:footnote>
  <w:footnote w:id="2">
    <w:p w14:paraId="6F53D9A5" w14:textId="784A1334" w:rsidR="00E31A93" w:rsidRPr="00E97EEA" w:rsidRDefault="00E31A93" w:rsidP="00E31A93">
      <w:pPr>
        <w:pStyle w:val="FootnoteText"/>
      </w:pPr>
      <w:r w:rsidRPr="00746966">
        <w:rPr>
          <w:rStyle w:val="FootnoteReference"/>
          <w:sz w:val="18"/>
          <w:szCs w:val="18"/>
        </w:rPr>
        <w:footnoteRef/>
      </w:r>
      <w:r w:rsidRPr="00746966">
        <w:rPr>
          <w:sz w:val="18"/>
          <w:szCs w:val="18"/>
        </w:rPr>
        <w:t xml:space="preserve"> Razen Cipra, a je slednji sodeloval le leta 2001 in sedaj, torej 2021, zato je pri interpretaciji treba biti pazljiv. Na prvi pogled se zdi, da je tudi Slovaška vi</w:t>
      </w:r>
      <w:bookmarkStart w:id="3" w:name="_GoBack"/>
      <w:bookmarkEnd w:id="3"/>
      <w:r w:rsidRPr="00746966">
        <w:rPr>
          <w:sz w:val="18"/>
          <w:szCs w:val="18"/>
        </w:rPr>
        <w:t>šala povprečni bralni dosežek, a to ne velja za vse zaporedne cikle, razlike so bile le med zaporednima cikloma 2001 in 2006. Tudi v svetovnem merilu je Slovenija edina od sodelujočih držav, ki je svoj dosežek konstantno zviševala, Singapur je npr. svoj dosežek prav tako zviševal, vendar ne med vsemi cikli (med cikloma 2011 in 2016 ni razlik v bralnem dosežku).</w:t>
      </w:r>
    </w:p>
  </w:footnote>
  <w:footnote w:id="3">
    <w:p w14:paraId="443D2080" w14:textId="77777777" w:rsidR="00B97BE9" w:rsidRPr="001977C5" w:rsidRDefault="00B97BE9" w:rsidP="00B97B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6430D"/>
    <w:multiLevelType w:val="hybridMultilevel"/>
    <w:tmpl w:val="D2605CD2"/>
    <w:lvl w:ilvl="0" w:tplc="484E26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6"/>
    <w:rsid w:val="0006017A"/>
    <w:rsid w:val="00065D83"/>
    <w:rsid w:val="000C4B61"/>
    <w:rsid w:val="000E67FF"/>
    <w:rsid w:val="000F1682"/>
    <w:rsid w:val="000F44E5"/>
    <w:rsid w:val="0013373E"/>
    <w:rsid w:val="0013586F"/>
    <w:rsid w:val="00146EB5"/>
    <w:rsid w:val="00150440"/>
    <w:rsid w:val="00156857"/>
    <w:rsid w:val="00170990"/>
    <w:rsid w:val="001A1F2C"/>
    <w:rsid w:val="001A2DA0"/>
    <w:rsid w:val="001B4F44"/>
    <w:rsid w:val="002211DB"/>
    <w:rsid w:val="00222599"/>
    <w:rsid w:val="00234C0B"/>
    <w:rsid w:val="0024119D"/>
    <w:rsid w:val="00245770"/>
    <w:rsid w:val="00246229"/>
    <w:rsid w:val="0028266C"/>
    <w:rsid w:val="00293477"/>
    <w:rsid w:val="00297A3F"/>
    <w:rsid w:val="002A043E"/>
    <w:rsid w:val="002C3536"/>
    <w:rsid w:val="002C4744"/>
    <w:rsid w:val="002C5C47"/>
    <w:rsid w:val="00304D0A"/>
    <w:rsid w:val="00331626"/>
    <w:rsid w:val="00370347"/>
    <w:rsid w:val="003879AE"/>
    <w:rsid w:val="00397CC9"/>
    <w:rsid w:val="003E6A7E"/>
    <w:rsid w:val="00420018"/>
    <w:rsid w:val="00421767"/>
    <w:rsid w:val="00435061"/>
    <w:rsid w:val="00456B66"/>
    <w:rsid w:val="0047275A"/>
    <w:rsid w:val="004B04CF"/>
    <w:rsid w:val="004B1308"/>
    <w:rsid w:val="004C3133"/>
    <w:rsid w:val="004E04F7"/>
    <w:rsid w:val="004E3BE9"/>
    <w:rsid w:val="005217D6"/>
    <w:rsid w:val="00523CFD"/>
    <w:rsid w:val="00533F50"/>
    <w:rsid w:val="00552EA3"/>
    <w:rsid w:val="00572D06"/>
    <w:rsid w:val="00577166"/>
    <w:rsid w:val="00596686"/>
    <w:rsid w:val="005D71ED"/>
    <w:rsid w:val="005E351D"/>
    <w:rsid w:val="005F7CAF"/>
    <w:rsid w:val="00615340"/>
    <w:rsid w:val="00621F83"/>
    <w:rsid w:val="006361D7"/>
    <w:rsid w:val="006442A5"/>
    <w:rsid w:val="00674C74"/>
    <w:rsid w:val="00687205"/>
    <w:rsid w:val="006B03CB"/>
    <w:rsid w:val="006E1DEC"/>
    <w:rsid w:val="007212E6"/>
    <w:rsid w:val="00745A15"/>
    <w:rsid w:val="00746389"/>
    <w:rsid w:val="00746966"/>
    <w:rsid w:val="00760B42"/>
    <w:rsid w:val="00774B2E"/>
    <w:rsid w:val="007A2A87"/>
    <w:rsid w:val="007A7B03"/>
    <w:rsid w:val="007C0FB4"/>
    <w:rsid w:val="00811111"/>
    <w:rsid w:val="00817D0E"/>
    <w:rsid w:val="00835D8A"/>
    <w:rsid w:val="0084499D"/>
    <w:rsid w:val="008A5EC1"/>
    <w:rsid w:val="008A725A"/>
    <w:rsid w:val="008B1962"/>
    <w:rsid w:val="008B44B3"/>
    <w:rsid w:val="008B47BA"/>
    <w:rsid w:val="008C4773"/>
    <w:rsid w:val="008E3264"/>
    <w:rsid w:val="009061DB"/>
    <w:rsid w:val="00942176"/>
    <w:rsid w:val="009514AF"/>
    <w:rsid w:val="00997429"/>
    <w:rsid w:val="009B3630"/>
    <w:rsid w:val="009E262C"/>
    <w:rsid w:val="009E45CB"/>
    <w:rsid w:val="00A32B9E"/>
    <w:rsid w:val="00A348EE"/>
    <w:rsid w:val="00A437E8"/>
    <w:rsid w:val="00A844C3"/>
    <w:rsid w:val="00A956AE"/>
    <w:rsid w:val="00A97240"/>
    <w:rsid w:val="00AC6D9B"/>
    <w:rsid w:val="00AF2722"/>
    <w:rsid w:val="00B07F7A"/>
    <w:rsid w:val="00B418E3"/>
    <w:rsid w:val="00B64F11"/>
    <w:rsid w:val="00B97BE9"/>
    <w:rsid w:val="00C24AFB"/>
    <w:rsid w:val="00C46AF1"/>
    <w:rsid w:val="00C55BE8"/>
    <w:rsid w:val="00C81395"/>
    <w:rsid w:val="00C862F1"/>
    <w:rsid w:val="00CA57F6"/>
    <w:rsid w:val="00CA6B45"/>
    <w:rsid w:val="00CB2A8F"/>
    <w:rsid w:val="00CF0759"/>
    <w:rsid w:val="00D37C4E"/>
    <w:rsid w:val="00D47CCD"/>
    <w:rsid w:val="00D609FE"/>
    <w:rsid w:val="00D6233D"/>
    <w:rsid w:val="00D90F59"/>
    <w:rsid w:val="00DA5BAE"/>
    <w:rsid w:val="00DB2CB6"/>
    <w:rsid w:val="00DC5635"/>
    <w:rsid w:val="00DE3B37"/>
    <w:rsid w:val="00DF308D"/>
    <w:rsid w:val="00E07EDC"/>
    <w:rsid w:val="00E26953"/>
    <w:rsid w:val="00E3085B"/>
    <w:rsid w:val="00E31A93"/>
    <w:rsid w:val="00E4447F"/>
    <w:rsid w:val="00E5622E"/>
    <w:rsid w:val="00E734E5"/>
    <w:rsid w:val="00E777A4"/>
    <w:rsid w:val="00F140C9"/>
    <w:rsid w:val="00F17E6F"/>
    <w:rsid w:val="00F30935"/>
    <w:rsid w:val="00F63A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A3C"/>
  <w15:docId w15:val="{A6162989-8403-4172-8E4D-7098739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45770"/>
  </w:style>
  <w:style w:type="paragraph" w:styleId="FootnoteText">
    <w:name w:val="footnote text"/>
    <w:basedOn w:val="Normal"/>
    <w:link w:val="FootnoteTextChar"/>
    <w:uiPriority w:val="99"/>
    <w:semiHidden/>
    <w:unhideWhenUsed/>
    <w:rsid w:val="00E26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953"/>
    <w:rPr>
      <w:sz w:val="20"/>
      <w:szCs w:val="20"/>
    </w:rPr>
  </w:style>
  <w:style w:type="character" w:styleId="FootnoteReference">
    <w:name w:val="footnote reference"/>
    <w:basedOn w:val="DefaultParagraphFont"/>
    <w:uiPriority w:val="99"/>
    <w:semiHidden/>
    <w:unhideWhenUsed/>
    <w:rsid w:val="00E26953"/>
    <w:rPr>
      <w:vertAlign w:val="superscript"/>
    </w:rPr>
  </w:style>
  <w:style w:type="character" w:styleId="CommentReference">
    <w:name w:val="annotation reference"/>
    <w:basedOn w:val="DefaultParagraphFont"/>
    <w:uiPriority w:val="99"/>
    <w:semiHidden/>
    <w:unhideWhenUsed/>
    <w:rsid w:val="0047275A"/>
    <w:rPr>
      <w:sz w:val="16"/>
      <w:szCs w:val="16"/>
    </w:rPr>
  </w:style>
  <w:style w:type="paragraph" w:styleId="CommentText">
    <w:name w:val="annotation text"/>
    <w:basedOn w:val="Normal"/>
    <w:link w:val="CommentTextChar"/>
    <w:uiPriority w:val="99"/>
    <w:semiHidden/>
    <w:unhideWhenUsed/>
    <w:rsid w:val="0047275A"/>
    <w:pPr>
      <w:spacing w:line="240" w:lineRule="auto"/>
    </w:pPr>
    <w:rPr>
      <w:sz w:val="20"/>
      <w:szCs w:val="20"/>
    </w:rPr>
  </w:style>
  <w:style w:type="character" w:customStyle="1" w:styleId="CommentTextChar">
    <w:name w:val="Comment Text Char"/>
    <w:basedOn w:val="DefaultParagraphFont"/>
    <w:link w:val="CommentText"/>
    <w:uiPriority w:val="99"/>
    <w:semiHidden/>
    <w:rsid w:val="0047275A"/>
    <w:rPr>
      <w:sz w:val="20"/>
      <w:szCs w:val="20"/>
    </w:rPr>
  </w:style>
  <w:style w:type="paragraph" w:styleId="CommentSubject">
    <w:name w:val="annotation subject"/>
    <w:basedOn w:val="CommentText"/>
    <w:next w:val="CommentText"/>
    <w:link w:val="CommentSubjectChar"/>
    <w:uiPriority w:val="99"/>
    <w:semiHidden/>
    <w:unhideWhenUsed/>
    <w:rsid w:val="0047275A"/>
    <w:rPr>
      <w:b/>
      <w:bCs/>
    </w:rPr>
  </w:style>
  <w:style w:type="character" w:customStyle="1" w:styleId="CommentSubjectChar">
    <w:name w:val="Comment Subject Char"/>
    <w:basedOn w:val="CommentTextChar"/>
    <w:link w:val="CommentSubject"/>
    <w:uiPriority w:val="99"/>
    <w:semiHidden/>
    <w:rsid w:val="0047275A"/>
    <w:rPr>
      <w:b/>
      <w:bCs/>
      <w:sz w:val="20"/>
      <w:szCs w:val="20"/>
    </w:rPr>
  </w:style>
  <w:style w:type="paragraph" w:styleId="BalloonText">
    <w:name w:val="Balloon Text"/>
    <w:basedOn w:val="Normal"/>
    <w:link w:val="BalloonTextChar"/>
    <w:uiPriority w:val="99"/>
    <w:semiHidden/>
    <w:unhideWhenUsed/>
    <w:rsid w:val="0047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5A"/>
    <w:rPr>
      <w:rFonts w:ascii="Segoe UI" w:hAnsi="Segoe UI" w:cs="Segoe UI"/>
      <w:sz w:val="18"/>
      <w:szCs w:val="18"/>
    </w:rPr>
  </w:style>
  <w:style w:type="paragraph" w:styleId="ListParagraph">
    <w:name w:val="List Paragraph"/>
    <w:basedOn w:val="Normal"/>
    <w:uiPriority w:val="34"/>
    <w:qFormat/>
    <w:rsid w:val="001A1F2C"/>
    <w:pPr>
      <w:spacing w:after="0" w:line="240" w:lineRule="auto"/>
      <w:ind w:left="720"/>
      <w:contextualSpacing/>
    </w:pPr>
    <w:rPr>
      <w:kern w:val="2"/>
      <w:sz w:val="24"/>
      <w:szCs w:val="24"/>
    </w:rPr>
  </w:style>
  <w:style w:type="table" w:styleId="TableGrid">
    <w:name w:val="Table Grid"/>
    <w:basedOn w:val="TableNormal"/>
    <w:uiPriority w:val="39"/>
    <w:rsid w:val="009E45CB"/>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35"/>
  </w:style>
  <w:style w:type="paragraph" w:styleId="Footer">
    <w:name w:val="footer"/>
    <w:basedOn w:val="Normal"/>
    <w:link w:val="FooterChar"/>
    <w:uiPriority w:val="99"/>
    <w:unhideWhenUsed/>
    <w:rsid w:val="00DC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35"/>
  </w:style>
  <w:style w:type="character" w:styleId="Hyperlink">
    <w:name w:val="Hyperlink"/>
    <w:basedOn w:val="DefaultParagraphFont"/>
    <w:uiPriority w:val="99"/>
    <w:unhideWhenUsed/>
    <w:rsid w:val="002C3536"/>
    <w:rPr>
      <w:color w:val="0563C1" w:themeColor="hyperlink"/>
      <w:u w:val="single"/>
    </w:rPr>
  </w:style>
  <w:style w:type="character" w:styleId="UnresolvedMention">
    <w:name w:val="Unresolved Mention"/>
    <w:basedOn w:val="DefaultParagraphFont"/>
    <w:uiPriority w:val="99"/>
    <w:semiHidden/>
    <w:unhideWhenUsed/>
    <w:rsid w:val="002C3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i.si/wp-content/uploads/2023/05/Nacionalno_porocilo_PIRLS_2021.pdf" TargetMode="External"/><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2C09-D082-4861-8958-3695CB56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Klemencic</dc:creator>
  <cp:keywords/>
  <dc:description/>
  <cp:lastModifiedBy>Eva Klemencic</cp:lastModifiedBy>
  <cp:revision>33</cp:revision>
  <dcterms:created xsi:type="dcterms:W3CDTF">2023-05-15T07:21:00Z</dcterms:created>
  <dcterms:modified xsi:type="dcterms:W3CDTF">2023-05-15T12:50:00Z</dcterms:modified>
</cp:coreProperties>
</file>